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77777777" w:rsidR="00DB1AB3" w:rsidRDefault="00DB1AB3" w:rsidP="00DB1AB3">
      <w:pPr>
        <w:pStyle w:val="Infotext"/>
        <w:spacing w:after="480"/>
        <w:rPr>
          <w:rFonts w:ascii="Arial Black" w:hAnsi="Arial Black"/>
          <w:color w:val="999999"/>
          <w:sz w:val="36"/>
          <w:szCs w:val="36"/>
        </w:rPr>
      </w:pPr>
      <w:bookmarkStart w:id="0" w:name="_Hlk111726362"/>
      <w:bookmarkEnd w:id="0"/>
      <w:r>
        <w:rPr>
          <w:noProof/>
        </w:rPr>
        <w:drawing>
          <wp:inline distT="0" distB="0" distL="0" distR="0" wp14:anchorId="33BAD087" wp14:editId="1BC4C70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8"/>
        <w:gridCol w:w="4901"/>
      </w:tblGrid>
      <w:tr w:rsidR="00392B6B" w:rsidRPr="00392B6B" w14:paraId="73A0496E" w14:textId="77777777" w:rsidTr="002D7AD9">
        <w:tc>
          <w:tcPr>
            <w:tcW w:w="3408" w:type="dxa"/>
            <w:tcBorders>
              <w:bottom w:val="single" w:sz="18" w:space="0" w:color="auto"/>
            </w:tcBorders>
          </w:tcPr>
          <w:p w14:paraId="747348DD" w14:textId="77777777" w:rsidR="005441BD" w:rsidRPr="00392B6B" w:rsidRDefault="00DB1AB3" w:rsidP="005337B2">
            <w:pPr>
              <w:pStyle w:val="Heading1"/>
            </w:pPr>
            <w:r w:rsidRPr="00392B6B">
              <w:t>Report for:</w:t>
            </w:r>
          </w:p>
          <w:p w14:paraId="05BF3901" w14:textId="77777777" w:rsidR="005441BD" w:rsidRPr="00392B6B" w:rsidRDefault="005441BD" w:rsidP="005337B2">
            <w:pPr>
              <w:pStyle w:val="Heading1"/>
            </w:pPr>
          </w:p>
        </w:tc>
        <w:tc>
          <w:tcPr>
            <w:tcW w:w="4901" w:type="dxa"/>
            <w:tcBorders>
              <w:bottom w:val="single" w:sz="18" w:space="0" w:color="auto"/>
            </w:tcBorders>
          </w:tcPr>
          <w:p w14:paraId="0ED09993" w14:textId="2C015981" w:rsidR="00B26D5D" w:rsidRPr="00392B6B" w:rsidRDefault="0028692E" w:rsidP="00392B6B">
            <w:pPr>
              <w:pStyle w:val="Heading1"/>
              <w:rPr>
                <w:szCs w:val="28"/>
              </w:rPr>
            </w:pPr>
            <w:r w:rsidRPr="00392B6B">
              <w:t>Planning Policy Advisory Panel</w:t>
            </w:r>
          </w:p>
        </w:tc>
      </w:tr>
      <w:tr w:rsidR="005441BD" w:rsidRPr="007D7E0B" w14:paraId="1D86A18F" w14:textId="77777777" w:rsidTr="006A028A">
        <w:tc>
          <w:tcPr>
            <w:tcW w:w="3408" w:type="dxa"/>
            <w:tcBorders>
              <w:top w:val="single" w:sz="18" w:space="0" w:color="auto"/>
            </w:tcBorders>
          </w:tcPr>
          <w:p w14:paraId="672E0788" w14:textId="77777777" w:rsidR="005441BD" w:rsidRPr="007D7E0B" w:rsidRDefault="005441BD" w:rsidP="00460297">
            <w:pPr>
              <w:pStyle w:val="Infotext"/>
              <w:spacing w:after="60"/>
              <w:rPr>
                <w:rFonts w:ascii="Arial Black" w:hAnsi="Arial Black" w:cs="Arial"/>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tc>
        <w:tc>
          <w:tcPr>
            <w:tcW w:w="4901" w:type="dxa"/>
            <w:tcBorders>
              <w:top w:val="single" w:sz="18" w:space="0" w:color="auto"/>
            </w:tcBorders>
          </w:tcPr>
          <w:p w14:paraId="6BE3CEEF" w14:textId="6EB9AAE6" w:rsidR="005441BD" w:rsidRPr="00026E61" w:rsidRDefault="00F45F7B" w:rsidP="00460297">
            <w:pPr>
              <w:pStyle w:val="Infotext"/>
              <w:spacing w:after="60"/>
              <w:rPr>
                <w:rFonts w:cs="Arial"/>
                <w:sz w:val="24"/>
                <w:szCs w:val="24"/>
              </w:rPr>
            </w:pPr>
            <w:r>
              <w:rPr>
                <w:rFonts w:cs="Arial"/>
                <w:sz w:val="24"/>
                <w:szCs w:val="24"/>
              </w:rPr>
              <w:t>9</w:t>
            </w:r>
            <w:r w:rsidRPr="00F45F7B">
              <w:rPr>
                <w:rFonts w:cs="Arial"/>
                <w:sz w:val="24"/>
                <w:szCs w:val="24"/>
                <w:vertAlign w:val="superscript"/>
              </w:rPr>
              <w:t>th</w:t>
            </w:r>
            <w:r>
              <w:rPr>
                <w:rFonts w:cs="Arial"/>
                <w:sz w:val="24"/>
                <w:szCs w:val="24"/>
              </w:rPr>
              <w:t xml:space="preserve"> January 2023</w:t>
            </w:r>
          </w:p>
        </w:tc>
      </w:tr>
      <w:tr w:rsidR="005441BD" w:rsidRPr="007D7E0B" w14:paraId="06DAEBB8" w14:textId="77777777" w:rsidTr="006A028A">
        <w:tc>
          <w:tcPr>
            <w:tcW w:w="3408" w:type="dxa"/>
          </w:tcPr>
          <w:p w14:paraId="50F0B2CE" w14:textId="77777777" w:rsidR="005441BD" w:rsidRPr="007D7E0B" w:rsidRDefault="005441BD" w:rsidP="00460297">
            <w:pPr>
              <w:pStyle w:val="Infotext"/>
              <w:spacing w:after="60"/>
              <w:rPr>
                <w:rFonts w:ascii="Arial Black" w:hAnsi="Arial Black"/>
              </w:rPr>
            </w:pPr>
            <w:r w:rsidRPr="007D7E0B">
              <w:rPr>
                <w:rFonts w:ascii="Arial Black" w:hAnsi="Arial Black" w:cs="Arial"/>
              </w:rPr>
              <w:t>Subject:</w:t>
            </w:r>
          </w:p>
        </w:tc>
        <w:tc>
          <w:tcPr>
            <w:tcW w:w="4901" w:type="dxa"/>
          </w:tcPr>
          <w:p w14:paraId="3D086A18" w14:textId="2D6F293E" w:rsidR="0076484B" w:rsidRPr="00026E61" w:rsidRDefault="001F0620" w:rsidP="00460297">
            <w:pPr>
              <w:pStyle w:val="Infotext"/>
              <w:spacing w:after="60"/>
              <w:rPr>
                <w:rFonts w:cs="Arial"/>
                <w:sz w:val="24"/>
                <w:szCs w:val="24"/>
              </w:rPr>
            </w:pPr>
            <w:r>
              <w:rPr>
                <w:rFonts w:cs="Arial"/>
                <w:sz w:val="24"/>
                <w:szCs w:val="24"/>
              </w:rPr>
              <w:t xml:space="preserve">Scoping report </w:t>
            </w:r>
            <w:r w:rsidR="003A088A">
              <w:rPr>
                <w:rFonts w:cs="Arial"/>
                <w:sz w:val="24"/>
                <w:szCs w:val="24"/>
              </w:rPr>
              <w:t>–</w:t>
            </w:r>
            <w:r>
              <w:rPr>
                <w:rFonts w:cs="Arial"/>
                <w:sz w:val="24"/>
                <w:szCs w:val="24"/>
              </w:rPr>
              <w:t xml:space="preserve"> </w:t>
            </w:r>
            <w:r w:rsidR="003A088A">
              <w:rPr>
                <w:rFonts w:cs="Arial"/>
                <w:sz w:val="24"/>
                <w:szCs w:val="24"/>
              </w:rPr>
              <w:t xml:space="preserve">Residential </w:t>
            </w:r>
            <w:r w:rsidR="002C5EC3">
              <w:rPr>
                <w:rFonts w:cs="Arial"/>
                <w:sz w:val="24"/>
                <w:szCs w:val="24"/>
              </w:rPr>
              <w:t xml:space="preserve">Conversion Guidance </w:t>
            </w:r>
            <w:r w:rsidR="00297FFD">
              <w:rPr>
                <w:rFonts w:cs="Arial"/>
                <w:sz w:val="24"/>
                <w:szCs w:val="24"/>
              </w:rPr>
              <w:t xml:space="preserve">&amp; </w:t>
            </w:r>
            <w:r w:rsidR="0043391E">
              <w:rPr>
                <w:rFonts w:cs="Arial"/>
                <w:sz w:val="24"/>
                <w:szCs w:val="24"/>
              </w:rPr>
              <w:t>Residential</w:t>
            </w:r>
            <w:r w:rsidR="00297FFD">
              <w:rPr>
                <w:rFonts w:cs="Arial"/>
                <w:sz w:val="24"/>
                <w:szCs w:val="24"/>
              </w:rPr>
              <w:t xml:space="preserve"> Extension Guidance</w:t>
            </w:r>
            <w:r w:rsidR="00751118">
              <w:rPr>
                <w:rFonts w:cs="Arial"/>
                <w:sz w:val="24"/>
                <w:szCs w:val="24"/>
              </w:rPr>
              <w:t xml:space="preserve"> Chapter</w:t>
            </w:r>
            <w:r>
              <w:rPr>
                <w:rFonts w:cs="Arial"/>
                <w:sz w:val="24"/>
                <w:szCs w:val="24"/>
              </w:rPr>
              <w:t>s</w:t>
            </w:r>
            <w:r w:rsidR="00751118">
              <w:rPr>
                <w:rFonts w:cs="Arial"/>
                <w:sz w:val="24"/>
                <w:szCs w:val="24"/>
              </w:rPr>
              <w:t xml:space="preserve"> </w:t>
            </w:r>
            <w:r w:rsidR="002C5EC3">
              <w:rPr>
                <w:rFonts w:cs="Arial"/>
                <w:sz w:val="24"/>
                <w:szCs w:val="24"/>
              </w:rPr>
              <w:t xml:space="preserve">– </w:t>
            </w:r>
            <w:r w:rsidR="00751118">
              <w:rPr>
                <w:rFonts w:cs="Arial"/>
                <w:sz w:val="24"/>
                <w:szCs w:val="24"/>
              </w:rPr>
              <w:t xml:space="preserve">Draft </w:t>
            </w:r>
            <w:r w:rsidR="002C5EC3">
              <w:rPr>
                <w:rFonts w:cs="Arial"/>
                <w:sz w:val="24"/>
                <w:szCs w:val="24"/>
              </w:rPr>
              <w:t xml:space="preserve">Small Site </w:t>
            </w:r>
            <w:r w:rsidR="00E87093">
              <w:rPr>
                <w:rFonts w:cs="Arial"/>
                <w:sz w:val="24"/>
                <w:szCs w:val="24"/>
              </w:rPr>
              <w:t>Design</w:t>
            </w:r>
            <w:r w:rsidR="002C5EC3">
              <w:rPr>
                <w:rFonts w:cs="Arial"/>
                <w:sz w:val="24"/>
                <w:szCs w:val="24"/>
              </w:rPr>
              <w:t xml:space="preserve"> Code </w:t>
            </w:r>
            <w:r w:rsidR="0076484B">
              <w:rPr>
                <w:rFonts w:cs="Arial"/>
                <w:sz w:val="24"/>
                <w:szCs w:val="24"/>
              </w:rPr>
              <w:t xml:space="preserve">Supplementary Planning Document </w:t>
            </w:r>
            <w:r w:rsidR="00386C65">
              <w:rPr>
                <w:rFonts w:cs="Arial"/>
                <w:sz w:val="24"/>
                <w:szCs w:val="24"/>
              </w:rPr>
              <w:t>(SPD)</w:t>
            </w:r>
            <w:r w:rsidR="003738CB">
              <w:rPr>
                <w:rFonts w:cs="Arial"/>
                <w:sz w:val="24"/>
                <w:szCs w:val="24"/>
              </w:rPr>
              <w:t xml:space="preserve"> </w:t>
            </w:r>
          </w:p>
        </w:tc>
      </w:tr>
      <w:tr w:rsidR="005441BD" w:rsidRPr="007D7E0B" w14:paraId="10A4A937" w14:textId="77777777" w:rsidTr="006A028A">
        <w:tc>
          <w:tcPr>
            <w:tcW w:w="3408" w:type="dxa"/>
          </w:tcPr>
          <w:p w14:paraId="1791B2E2" w14:textId="77777777" w:rsidR="005441BD" w:rsidRPr="0064262B" w:rsidRDefault="005441BD" w:rsidP="00460297">
            <w:pPr>
              <w:pStyle w:val="Infotext"/>
              <w:spacing w:after="60"/>
            </w:pPr>
            <w:r w:rsidRPr="007D7E0B">
              <w:rPr>
                <w:rFonts w:ascii="Arial Black" w:hAnsi="Arial Black" w:cs="Arial"/>
              </w:rPr>
              <w:t>Key Decision:</w:t>
            </w:r>
          </w:p>
        </w:tc>
        <w:tc>
          <w:tcPr>
            <w:tcW w:w="4901" w:type="dxa"/>
          </w:tcPr>
          <w:p w14:paraId="04A387FD" w14:textId="2786D596" w:rsidR="0099076B" w:rsidRPr="00026E61" w:rsidRDefault="005441BD" w:rsidP="00460297">
            <w:pPr>
              <w:pStyle w:val="Infotext"/>
              <w:spacing w:after="60"/>
              <w:rPr>
                <w:rFonts w:cs="Arial"/>
                <w:sz w:val="24"/>
                <w:szCs w:val="24"/>
              </w:rPr>
            </w:pPr>
            <w:r w:rsidRPr="00026E61">
              <w:rPr>
                <w:rFonts w:cs="Arial"/>
                <w:sz w:val="24"/>
                <w:szCs w:val="24"/>
              </w:rPr>
              <w:t>No</w:t>
            </w:r>
          </w:p>
        </w:tc>
      </w:tr>
      <w:tr w:rsidR="005441BD" w:rsidRPr="007D7E0B" w14:paraId="454ADD95" w14:textId="77777777" w:rsidTr="006A028A">
        <w:tc>
          <w:tcPr>
            <w:tcW w:w="3408" w:type="dxa"/>
          </w:tcPr>
          <w:p w14:paraId="17FC4E38" w14:textId="77777777" w:rsidR="005441BD" w:rsidRPr="007D7E0B" w:rsidRDefault="005441BD" w:rsidP="00460297">
            <w:pPr>
              <w:pStyle w:val="Infotext"/>
              <w:spacing w:after="60"/>
              <w:rPr>
                <w:rFonts w:ascii="Arial Black" w:hAnsi="Arial Black" w:cs="Arial"/>
              </w:rPr>
            </w:pPr>
            <w:r w:rsidRPr="007D7E0B">
              <w:rPr>
                <w:rFonts w:ascii="Arial Black" w:hAnsi="Arial Black" w:cs="Arial"/>
              </w:rPr>
              <w:t>Responsible Officer:</w:t>
            </w:r>
          </w:p>
        </w:tc>
        <w:tc>
          <w:tcPr>
            <w:tcW w:w="4901" w:type="dxa"/>
          </w:tcPr>
          <w:p w14:paraId="2B5EC923" w14:textId="7ABCB1E2" w:rsidR="00C470EB" w:rsidRDefault="00C470EB" w:rsidP="00460297">
            <w:pPr>
              <w:pStyle w:val="Infotext"/>
              <w:spacing w:after="60"/>
              <w:rPr>
                <w:rFonts w:cs="Arial"/>
                <w:sz w:val="24"/>
                <w:szCs w:val="24"/>
              </w:rPr>
            </w:pPr>
            <w:r>
              <w:rPr>
                <w:rFonts w:cs="Arial"/>
                <w:sz w:val="24"/>
                <w:szCs w:val="24"/>
              </w:rPr>
              <w:t>Dipti Patel, Corporate Director Place</w:t>
            </w:r>
          </w:p>
          <w:p w14:paraId="5ED24FC3" w14:textId="4A07BBC6" w:rsidR="00036698" w:rsidRPr="00026E61" w:rsidRDefault="00CF71C1" w:rsidP="00460297">
            <w:pPr>
              <w:pStyle w:val="Infotext"/>
              <w:spacing w:after="60"/>
              <w:rPr>
                <w:rFonts w:cs="Arial"/>
                <w:sz w:val="24"/>
                <w:szCs w:val="24"/>
              </w:rPr>
            </w:pPr>
            <w:r>
              <w:rPr>
                <w:rFonts w:cs="Arial"/>
                <w:sz w:val="24"/>
                <w:szCs w:val="24"/>
              </w:rPr>
              <w:t>Viv Evans,</w:t>
            </w:r>
            <w:r w:rsidR="005441BD" w:rsidRPr="00026E61">
              <w:rPr>
                <w:rFonts w:cs="Arial"/>
                <w:sz w:val="24"/>
                <w:szCs w:val="24"/>
              </w:rPr>
              <w:t xml:space="preserve"> Chief </w:t>
            </w:r>
            <w:r w:rsidR="004C40D1">
              <w:rPr>
                <w:rFonts w:cs="Arial"/>
                <w:sz w:val="24"/>
                <w:szCs w:val="24"/>
              </w:rPr>
              <w:t xml:space="preserve">Planning </w:t>
            </w:r>
            <w:r w:rsidR="005441BD" w:rsidRPr="00026E61">
              <w:rPr>
                <w:rFonts w:cs="Arial"/>
                <w:sz w:val="24"/>
                <w:szCs w:val="24"/>
              </w:rPr>
              <w:t>Officer</w:t>
            </w:r>
            <w:r w:rsidR="00FD23D9">
              <w:rPr>
                <w:rFonts w:cs="Arial"/>
                <w:sz w:val="24"/>
                <w:szCs w:val="24"/>
              </w:rPr>
              <w:t xml:space="preserve"> </w:t>
            </w:r>
          </w:p>
        </w:tc>
      </w:tr>
      <w:tr w:rsidR="005441BD" w:rsidRPr="007D7E0B" w14:paraId="67151276" w14:textId="77777777" w:rsidTr="006A028A">
        <w:tc>
          <w:tcPr>
            <w:tcW w:w="3408" w:type="dxa"/>
          </w:tcPr>
          <w:p w14:paraId="64236CA0" w14:textId="77777777" w:rsidR="005441BD" w:rsidRPr="007D7E0B" w:rsidRDefault="005441BD" w:rsidP="00460297">
            <w:pPr>
              <w:pStyle w:val="Infotext"/>
              <w:spacing w:after="60"/>
              <w:rPr>
                <w:rFonts w:ascii="Arial Black" w:hAnsi="Arial Black" w:cs="Arial"/>
              </w:rPr>
            </w:pPr>
            <w:r w:rsidRPr="007D7E0B">
              <w:rPr>
                <w:rFonts w:ascii="Arial Black" w:hAnsi="Arial Black" w:cs="Arial"/>
              </w:rPr>
              <w:t>Portfolio Holder:</w:t>
            </w:r>
          </w:p>
        </w:tc>
        <w:tc>
          <w:tcPr>
            <w:tcW w:w="4901" w:type="dxa"/>
          </w:tcPr>
          <w:p w14:paraId="4D94F8AE" w14:textId="02DFC4F0" w:rsidR="00110E82" w:rsidRPr="00110E82" w:rsidRDefault="00F9041F" w:rsidP="00460297">
            <w:pPr>
              <w:pStyle w:val="Infotext"/>
              <w:spacing w:after="60"/>
              <w:jc w:val="both"/>
              <w:rPr>
                <w:rFonts w:cs="Arial"/>
                <w:sz w:val="24"/>
                <w:szCs w:val="24"/>
              </w:rPr>
            </w:pPr>
            <w:r w:rsidRPr="003F382E">
              <w:rPr>
                <w:rFonts w:cs="Arial"/>
                <w:sz w:val="24"/>
                <w:szCs w:val="24"/>
              </w:rPr>
              <w:t xml:space="preserve">Cllr Marilyn Ashton </w:t>
            </w:r>
            <w:r>
              <w:rPr>
                <w:rFonts w:cs="Arial"/>
                <w:sz w:val="24"/>
                <w:szCs w:val="24"/>
              </w:rPr>
              <w:t xml:space="preserve">Deputy Leader of the Council, </w:t>
            </w:r>
            <w:r w:rsidRPr="003F382E">
              <w:rPr>
                <w:rFonts w:cs="Arial"/>
                <w:color w:val="252B36"/>
                <w:sz w:val="24"/>
                <w:szCs w:val="24"/>
              </w:rPr>
              <w:t>Portfolio Holder for Planning &amp; Regeneration</w:t>
            </w:r>
          </w:p>
        </w:tc>
      </w:tr>
      <w:tr w:rsidR="005441BD" w:rsidRPr="007D7E0B" w14:paraId="16E0D62B" w14:textId="77777777" w:rsidTr="006A028A">
        <w:tc>
          <w:tcPr>
            <w:tcW w:w="3408" w:type="dxa"/>
          </w:tcPr>
          <w:p w14:paraId="2E721E3F" w14:textId="77777777" w:rsidR="005441BD" w:rsidRPr="007D7E0B" w:rsidRDefault="005441BD" w:rsidP="00460297">
            <w:pPr>
              <w:pStyle w:val="Infotext"/>
              <w:spacing w:after="60"/>
              <w:rPr>
                <w:rFonts w:ascii="Arial Black" w:hAnsi="Arial Black" w:cs="Arial"/>
              </w:rPr>
            </w:pPr>
            <w:r w:rsidRPr="007D7E0B">
              <w:rPr>
                <w:rFonts w:ascii="Arial Black" w:hAnsi="Arial Black" w:cs="Arial"/>
              </w:rPr>
              <w:t>Exempt:</w:t>
            </w:r>
          </w:p>
        </w:tc>
        <w:tc>
          <w:tcPr>
            <w:tcW w:w="4901" w:type="dxa"/>
          </w:tcPr>
          <w:p w14:paraId="401C4070" w14:textId="6259C78F" w:rsidR="0099076B" w:rsidRPr="00026E61" w:rsidRDefault="005441BD" w:rsidP="00460297">
            <w:pPr>
              <w:pStyle w:val="Infotext"/>
              <w:spacing w:after="60"/>
              <w:rPr>
                <w:rFonts w:cs="Arial"/>
                <w:sz w:val="24"/>
                <w:szCs w:val="24"/>
              </w:rPr>
            </w:pPr>
            <w:r w:rsidRPr="00026E61">
              <w:rPr>
                <w:rFonts w:cs="Arial"/>
                <w:sz w:val="24"/>
                <w:szCs w:val="24"/>
              </w:rPr>
              <w:t>No</w:t>
            </w:r>
          </w:p>
        </w:tc>
      </w:tr>
      <w:tr w:rsidR="0099076B" w:rsidRPr="007D7E0B" w14:paraId="46C1B06C" w14:textId="77777777" w:rsidTr="006A028A">
        <w:tc>
          <w:tcPr>
            <w:tcW w:w="3408" w:type="dxa"/>
          </w:tcPr>
          <w:p w14:paraId="4A84DC0E" w14:textId="77777777" w:rsidR="0099076B" w:rsidRPr="007D7E0B" w:rsidRDefault="0099076B" w:rsidP="00460297">
            <w:pPr>
              <w:pStyle w:val="Infotext"/>
              <w:spacing w:after="60"/>
              <w:rPr>
                <w:rFonts w:ascii="Arial Black" w:hAnsi="Arial Black" w:cs="Arial"/>
              </w:rPr>
            </w:pPr>
            <w:r>
              <w:rPr>
                <w:rFonts w:ascii="Arial Black" w:hAnsi="Arial Black" w:cs="Arial"/>
              </w:rPr>
              <w:t>Decision subject to Call-in:</w:t>
            </w:r>
          </w:p>
        </w:tc>
        <w:tc>
          <w:tcPr>
            <w:tcW w:w="4901" w:type="dxa"/>
          </w:tcPr>
          <w:p w14:paraId="3FC6C007" w14:textId="416A3FB8" w:rsidR="000D5D8B" w:rsidRPr="00026E61" w:rsidRDefault="0099076B" w:rsidP="00460297">
            <w:pPr>
              <w:pStyle w:val="Infotext"/>
              <w:spacing w:after="60"/>
              <w:rPr>
                <w:rFonts w:cs="Arial"/>
                <w:sz w:val="24"/>
                <w:szCs w:val="24"/>
              </w:rPr>
            </w:pPr>
            <w:r w:rsidRPr="00026E61">
              <w:rPr>
                <w:rFonts w:cs="Arial"/>
                <w:sz w:val="24"/>
                <w:szCs w:val="24"/>
              </w:rPr>
              <w:t>No</w:t>
            </w:r>
          </w:p>
        </w:tc>
      </w:tr>
      <w:tr w:rsidR="0064262B" w:rsidRPr="007D7E0B" w14:paraId="73CF4E26" w14:textId="77777777" w:rsidTr="006A028A">
        <w:tc>
          <w:tcPr>
            <w:tcW w:w="3408" w:type="dxa"/>
          </w:tcPr>
          <w:p w14:paraId="0F99FDF2" w14:textId="77777777" w:rsidR="00D54435" w:rsidRPr="007D7E0B" w:rsidRDefault="0064262B" w:rsidP="00460297">
            <w:pPr>
              <w:pStyle w:val="Infotext"/>
              <w:spacing w:after="60"/>
              <w:rPr>
                <w:rFonts w:ascii="Arial Black" w:hAnsi="Arial Black" w:cs="Arial"/>
              </w:rPr>
            </w:pPr>
            <w:r>
              <w:rPr>
                <w:rFonts w:ascii="Arial Black" w:hAnsi="Arial Black" w:cs="Arial"/>
              </w:rPr>
              <w:t>Wards affected:</w:t>
            </w:r>
          </w:p>
        </w:tc>
        <w:tc>
          <w:tcPr>
            <w:tcW w:w="4901" w:type="dxa"/>
          </w:tcPr>
          <w:p w14:paraId="76AA06AF" w14:textId="750F3464" w:rsidR="00D43BA2" w:rsidRPr="00026E61" w:rsidRDefault="00D43BA2" w:rsidP="00460297">
            <w:pPr>
              <w:pStyle w:val="Infotext"/>
              <w:spacing w:after="60"/>
              <w:rPr>
                <w:rFonts w:cs="Arial"/>
                <w:sz w:val="24"/>
                <w:szCs w:val="24"/>
              </w:rPr>
            </w:pPr>
            <w:r>
              <w:rPr>
                <w:rFonts w:cs="Arial"/>
                <w:sz w:val="24"/>
                <w:szCs w:val="24"/>
              </w:rPr>
              <w:t>All Wards</w:t>
            </w:r>
          </w:p>
        </w:tc>
      </w:tr>
      <w:tr w:rsidR="005441BD" w:rsidRPr="007D7E0B" w14:paraId="3A7EFAEE" w14:textId="77777777" w:rsidTr="006A028A">
        <w:tc>
          <w:tcPr>
            <w:tcW w:w="3408" w:type="dxa"/>
          </w:tcPr>
          <w:p w14:paraId="72F5FB44" w14:textId="77777777" w:rsidR="005441BD" w:rsidRPr="007D7E0B" w:rsidRDefault="005441BD" w:rsidP="00460297">
            <w:pPr>
              <w:pStyle w:val="Infotext"/>
              <w:spacing w:after="60"/>
              <w:rPr>
                <w:rFonts w:ascii="Arial Black" w:hAnsi="Arial Black" w:cs="Arial"/>
              </w:rPr>
            </w:pPr>
            <w:r w:rsidRPr="007D7E0B">
              <w:rPr>
                <w:rFonts w:ascii="Arial Black" w:hAnsi="Arial Black" w:cs="Arial"/>
              </w:rPr>
              <w:t>Enclosures:</w:t>
            </w:r>
          </w:p>
        </w:tc>
        <w:tc>
          <w:tcPr>
            <w:tcW w:w="4901" w:type="dxa"/>
          </w:tcPr>
          <w:p w14:paraId="6F6F3439" w14:textId="1006BA26" w:rsidR="006A028A" w:rsidRDefault="00281ADC" w:rsidP="00460297">
            <w:pPr>
              <w:pStyle w:val="Infotext"/>
              <w:spacing w:after="60"/>
              <w:rPr>
                <w:rFonts w:cs="Arial"/>
                <w:sz w:val="24"/>
                <w:szCs w:val="24"/>
              </w:rPr>
            </w:pPr>
            <w:r w:rsidRPr="00F6488C">
              <w:rPr>
                <w:rFonts w:cs="Arial"/>
                <w:sz w:val="24"/>
                <w:szCs w:val="24"/>
              </w:rPr>
              <w:t xml:space="preserve">Appendix 1: Draft </w:t>
            </w:r>
            <w:r w:rsidR="00542F08">
              <w:rPr>
                <w:rFonts w:cs="Arial"/>
                <w:sz w:val="24"/>
                <w:szCs w:val="24"/>
              </w:rPr>
              <w:t>Residential Conversions</w:t>
            </w:r>
            <w:r w:rsidR="00784CE2" w:rsidRPr="00F6488C">
              <w:rPr>
                <w:rFonts w:cs="Arial"/>
                <w:sz w:val="24"/>
                <w:szCs w:val="24"/>
              </w:rPr>
              <w:t xml:space="preserve"> Guidance </w:t>
            </w:r>
            <w:r w:rsidRPr="00F6488C">
              <w:rPr>
                <w:rFonts w:cs="Arial"/>
                <w:sz w:val="24"/>
                <w:szCs w:val="24"/>
              </w:rPr>
              <w:t xml:space="preserve">Principles </w:t>
            </w:r>
          </w:p>
          <w:p w14:paraId="05A8DEFB" w14:textId="14862345" w:rsidR="00D36CE2" w:rsidRPr="00026E61" w:rsidRDefault="00D36CE2" w:rsidP="00460297">
            <w:pPr>
              <w:pStyle w:val="Infotext"/>
              <w:spacing w:after="60"/>
              <w:rPr>
                <w:rFonts w:cs="Arial"/>
                <w:sz w:val="24"/>
                <w:szCs w:val="24"/>
              </w:rPr>
            </w:pPr>
          </w:p>
        </w:tc>
      </w:tr>
      <w:tr w:rsidR="005200DF" w14:paraId="20A4F076" w14:textId="77777777" w:rsidTr="006A0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9" w:type="dxa"/>
            <w:gridSpan w:val="2"/>
            <w:tcBorders>
              <w:top w:val="nil"/>
              <w:left w:val="nil"/>
              <w:right w:val="nil"/>
            </w:tcBorders>
          </w:tcPr>
          <w:p w14:paraId="62639055" w14:textId="77777777" w:rsidR="005200DF" w:rsidRDefault="005200DF" w:rsidP="005337B2">
            <w:pPr>
              <w:pStyle w:val="Heading2"/>
              <w:spacing w:after="240"/>
            </w:pPr>
            <w:r>
              <w:t>Section 1 – Summary and Recommendations</w:t>
            </w:r>
          </w:p>
        </w:tc>
      </w:tr>
      <w:tr w:rsidR="005441BD" w14:paraId="07FFE2EC" w14:textId="77777777" w:rsidTr="006A0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9" w:type="dxa"/>
            <w:gridSpan w:val="2"/>
          </w:tcPr>
          <w:p w14:paraId="72A9A1B3" w14:textId="77777777" w:rsidR="005441BD" w:rsidRDefault="005441BD"/>
          <w:p w14:paraId="31A50DCF" w14:textId="5A669583" w:rsidR="005A008B" w:rsidRDefault="00AE24B9" w:rsidP="007B1B78">
            <w:pPr>
              <w:jc w:val="both"/>
            </w:pPr>
            <w:r>
              <w:t xml:space="preserve">This report sets out the </w:t>
            </w:r>
            <w:r w:rsidR="00D55EBA">
              <w:t xml:space="preserve">proposed </w:t>
            </w:r>
            <w:r>
              <w:t xml:space="preserve">approach to be taken to </w:t>
            </w:r>
            <w:r w:rsidR="004A37F9">
              <w:t xml:space="preserve">prepare </w:t>
            </w:r>
            <w:r>
              <w:t xml:space="preserve">specific </w:t>
            </w:r>
            <w:r w:rsidR="006036D2">
              <w:t>design</w:t>
            </w:r>
            <w:r>
              <w:t xml:space="preserve"> guidance </w:t>
            </w:r>
            <w:r w:rsidR="006036D2">
              <w:t xml:space="preserve">for </w:t>
            </w:r>
            <w:r w:rsidR="0001136C">
              <w:t xml:space="preserve">residential </w:t>
            </w:r>
            <w:r w:rsidR="006036D2">
              <w:t>conversions</w:t>
            </w:r>
            <w:r w:rsidR="003A088A">
              <w:t xml:space="preserve"> (dwelling houses into flats, </w:t>
            </w:r>
            <w:r w:rsidR="00AD0E5F">
              <w:t>regardless of</w:t>
            </w:r>
            <w:r w:rsidR="00866116">
              <w:t xml:space="preserve"> whether extensions are also proposed</w:t>
            </w:r>
            <w:r w:rsidR="00B40F85">
              <w:t>)</w:t>
            </w:r>
            <w:r w:rsidR="00D1016E">
              <w:t>,</w:t>
            </w:r>
            <w:r w:rsidR="00A62249">
              <w:t xml:space="preserve"> </w:t>
            </w:r>
            <w:r w:rsidR="00D1016E">
              <w:t>which is</w:t>
            </w:r>
            <w:r w:rsidR="00A62249">
              <w:t xml:space="preserve"> propose</w:t>
            </w:r>
            <w:r w:rsidR="00B824C4">
              <w:t>d</w:t>
            </w:r>
            <w:r w:rsidR="004C31D3">
              <w:t xml:space="preserve"> to be</w:t>
            </w:r>
            <w:r>
              <w:t xml:space="preserve"> </w:t>
            </w:r>
            <w:r w:rsidR="00BB621C">
              <w:t xml:space="preserve">progressed </w:t>
            </w:r>
            <w:r w:rsidR="00B824C4">
              <w:t xml:space="preserve">as a </w:t>
            </w:r>
            <w:r w:rsidR="00106ABF">
              <w:t xml:space="preserve">chapter within the draft Small Sites Design Code </w:t>
            </w:r>
            <w:r>
              <w:t>Supplementary Planning Document (SPD).</w:t>
            </w:r>
            <w:r w:rsidR="00971BE0">
              <w:t xml:space="preserve"> </w:t>
            </w:r>
            <w:r w:rsidR="00B824C4">
              <w:t xml:space="preserve">This report also </w:t>
            </w:r>
            <w:r w:rsidR="00BB6D51">
              <w:t xml:space="preserve">provides a further detail on householder extension guidance as </w:t>
            </w:r>
            <w:r w:rsidR="00BB621C">
              <w:t xml:space="preserve">initially </w:t>
            </w:r>
            <w:r w:rsidR="00BB6D51">
              <w:t xml:space="preserve">drafted within the </w:t>
            </w:r>
            <w:r w:rsidR="005A008B">
              <w:t>draft Small Sites Design Code SPD.</w:t>
            </w:r>
          </w:p>
          <w:p w14:paraId="31555923" w14:textId="77777777" w:rsidR="00BB621C" w:rsidRDefault="00BB621C" w:rsidP="007B1B78">
            <w:pPr>
              <w:jc w:val="both"/>
            </w:pPr>
          </w:p>
          <w:p w14:paraId="440E37A1" w14:textId="6D15DF43" w:rsidR="005441BD" w:rsidRDefault="00F00ED1" w:rsidP="007B1B78">
            <w:pPr>
              <w:jc w:val="both"/>
            </w:pPr>
            <w:r>
              <w:t xml:space="preserve">Once drafted, the </w:t>
            </w:r>
            <w:r w:rsidR="00455485">
              <w:t>guidance</w:t>
            </w:r>
            <w:r w:rsidR="00971BE0">
              <w:t xml:space="preserve"> will be presented </w:t>
            </w:r>
            <w:r w:rsidR="00AC01AD">
              <w:t xml:space="preserve">to </w:t>
            </w:r>
            <w:r w:rsidR="00C049C3">
              <w:t xml:space="preserve">a subsequent meeting of the Panel for consideration, and </w:t>
            </w:r>
            <w:r w:rsidR="00F31058">
              <w:t>Cabinet</w:t>
            </w:r>
            <w:r w:rsidR="00AC01AD">
              <w:t xml:space="preserve"> </w:t>
            </w:r>
            <w:r w:rsidR="00C049C3">
              <w:t>thereafter</w:t>
            </w:r>
            <w:r w:rsidR="00AC01AD">
              <w:t xml:space="preserve"> </w:t>
            </w:r>
            <w:r w:rsidR="00F31058">
              <w:t>seeking adoption</w:t>
            </w:r>
            <w:r w:rsidR="00453F70">
              <w:t xml:space="preserve"> as part of the </w:t>
            </w:r>
            <w:r w:rsidR="005F4287">
              <w:t xml:space="preserve">draft </w:t>
            </w:r>
            <w:r w:rsidR="00453F70">
              <w:t>Small Sites Design Code SPD</w:t>
            </w:r>
            <w:r w:rsidR="00AC01AD">
              <w:t>.</w:t>
            </w:r>
          </w:p>
          <w:p w14:paraId="7078F0D4" w14:textId="172ED067" w:rsidR="00BC1CC7" w:rsidRDefault="00BC1CC7" w:rsidP="00BC1CC7"/>
          <w:p w14:paraId="6ABBF0F2" w14:textId="77777777" w:rsidR="005441BD" w:rsidRPr="00B65EB5" w:rsidRDefault="005441BD" w:rsidP="001022EA">
            <w:pPr>
              <w:pStyle w:val="Heading3"/>
              <w:keepNext/>
              <w:rPr>
                <w:i/>
              </w:rPr>
            </w:pPr>
            <w:r w:rsidRPr="00BC1CC7">
              <w:t>Recommendations:</w:t>
            </w:r>
            <w:r w:rsidRPr="00B65EB5">
              <w:rPr>
                <w:i/>
              </w:rPr>
              <w:t xml:space="preserve"> </w:t>
            </w:r>
          </w:p>
          <w:p w14:paraId="47175E89" w14:textId="694728E0" w:rsidR="005441BD" w:rsidRDefault="006C320E">
            <w:r>
              <w:t xml:space="preserve">The Panel </w:t>
            </w:r>
            <w:r w:rsidR="005441BD">
              <w:t>is requested to:</w:t>
            </w:r>
          </w:p>
          <w:p w14:paraId="6A11566F" w14:textId="362DCAB9" w:rsidR="00586B1E" w:rsidRDefault="00586B1E"/>
          <w:p w14:paraId="15C6F25A" w14:textId="2C829D8E" w:rsidR="00586B1E" w:rsidRDefault="00586B1E" w:rsidP="000A32B9">
            <w:pPr>
              <w:pStyle w:val="ListParagraph"/>
              <w:numPr>
                <w:ilvl w:val="0"/>
                <w:numId w:val="23"/>
              </w:numPr>
              <w:rPr>
                <w:sz w:val="24"/>
                <w:szCs w:val="24"/>
              </w:rPr>
            </w:pPr>
            <w:r w:rsidRPr="00E51CD1">
              <w:rPr>
                <w:sz w:val="24"/>
                <w:szCs w:val="24"/>
              </w:rPr>
              <w:t xml:space="preserve">Note the contents of the report and the </w:t>
            </w:r>
            <w:r w:rsidR="006E2D02">
              <w:rPr>
                <w:sz w:val="24"/>
                <w:szCs w:val="24"/>
              </w:rPr>
              <w:t xml:space="preserve">recommended </w:t>
            </w:r>
            <w:r w:rsidRPr="00E51CD1">
              <w:rPr>
                <w:sz w:val="24"/>
                <w:szCs w:val="24"/>
              </w:rPr>
              <w:t xml:space="preserve">approach to bringing forward </w:t>
            </w:r>
            <w:r w:rsidR="00B40F85">
              <w:rPr>
                <w:sz w:val="24"/>
                <w:szCs w:val="24"/>
              </w:rPr>
              <w:t xml:space="preserve">residential </w:t>
            </w:r>
            <w:r w:rsidR="003276F0">
              <w:rPr>
                <w:sz w:val="24"/>
                <w:szCs w:val="24"/>
              </w:rPr>
              <w:t xml:space="preserve">conversion design </w:t>
            </w:r>
            <w:r w:rsidR="00FC4B19">
              <w:rPr>
                <w:sz w:val="24"/>
                <w:szCs w:val="24"/>
              </w:rPr>
              <w:t>guidance</w:t>
            </w:r>
            <w:r w:rsidR="006C6125">
              <w:rPr>
                <w:sz w:val="24"/>
                <w:szCs w:val="24"/>
              </w:rPr>
              <w:t xml:space="preserve">, by way of a </w:t>
            </w:r>
            <w:r w:rsidR="0000243B">
              <w:rPr>
                <w:sz w:val="24"/>
                <w:szCs w:val="24"/>
              </w:rPr>
              <w:t xml:space="preserve">specific chapter </w:t>
            </w:r>
            <w:r w:rsidR="00F802A1">
              <w:rPr>
                <w:sz w:val="24"/>
                <w:szCs w:val="24"/>
              </w:rPr>
              <w:t xml:space="preserve">within the </w:t>
            </w:r>
            <w:r w:rsidR="00B77100">
              <w:rPr>
                <w:sz w:val="24"/>
                <w:szCs w:val="24"/>
              </w:rPr>
              <w:t xml:space="preserve">draft </w:t>
            </w:r>
            <w:r w:rsidR="00F802A1">
              <w:rPr>
                <w:sz w:val="24"/>
                <w:szCs w:val="24"/>
              </w:rPr>
              <w:t xml:space="preserve">Small Sites Design Code </w:t>
            </w:r>
            <w:r w:rsidR="001B7D8A" w:rsidRPr="00E51CD1">
              <w:rPr>
                <w:sz w:val="24"/>
                <w:szCs w:val="24"/>
              </w:rPr>
              <w:t>Supplementary Planning Document</w:t>
            </w:r>
            <w:r w:rsidR="00F802A1">
              <w:rPr>
                <w:sz w:val="24"/>
                <w:szCs w:val="24"/>
              </w:rPr>
              <w:t xml:space="preserve"> </w:t>
            </w:r>
          </w:p>
          <w:p w14:paraId="602065BB" w14:textId="23295019" w:rsidR="00744071" w:rsidRDefault="00744071" w:rsidP="00C96DC8">
            <w:pPr>
              <w:pStyle w:val="ListParagraph"/>
              <w:numPr>
                <w:ilvl w:val="0"/>
                <w:numId w:val="23"/>
              </w:numPr>
              <w:rPr>
                <w:sz w:val="24"/>
                <w:szCs w:val="24"/>
              </w:rPr>
            </w:pPr>
            <w:r>
              <w:rPr>
                <w:sz w:val="24"/>
                <w:szCs w:val="24"/>
              </w:rPr>
              <w:lastRenderedPageBreak/>
              <w:t xml:space="preserve">Note the further detail </w:t>
            </w:r>
            <w:r w:rsidR="00194EE0">
              <w:rPr>
                <w:sz w:val="24"/>
                <w:szCs w:val="24"/>
              </w:rPr>
              <w:t xml:space="preserve">to be </w:t>
            </w:r>
            <w:r>
              <w:rPr>
                <w:sz w:val="24"/>
                <w:szCs w:val="24"/>
              </w:rPr>
              <w:t xml:space="preserve">provided in relation to </w:t>
            </w:r>
            <w:r w:rsidR="00194EE0">
              <w:rPr>
                <w:sz w:val="24"/>
                <w:szCs w:val="24"/>
              </w:rPr>
              <w:t>h</w:t>
            </w:r>
            <w:r>
              <w:rPr>
                <w:sz w:val="24"/>
                <w:szCs w:val="24"/>
              </w:rPr>
              <w:t xml:space="preserve">ouseholder </w:t>
            </w:r>
            <w:r w:rsidR="00194EE0">
              <w:rPr>
                <w:sz w:val="24"/>
                <w:szCs w:val="24"/>
              </w:rPr>
              <w:t>e</w:t>
            </w:r>
            <w:r>
              <w:rPr>
                <w:sz w:val="24"/>
                <w:szCs w:val="24"/>
              </w:rPr>
              <w:t>xtension</w:t>
            </w:r>
            <w:r w:rsidR="00194EE0">
              <w:rPr>
                <w:sz w:val="24"/>
                <w:szCs w:val="24"/>
              </w:rPr>
              <w:t xml:space="preserve"> guidance </w:t>
            </w:r>
          </w:p>
          <w:p w14:paraId="711410D5" w14:textId="29E317B2" w:rsidR="009B04E0" w:rsidRPr="00DC18D2" w:rsidRDefault="009B04E0" w:rsidP="000A32B9">
            <w:pPr>
              <w:pStyle w:val="ListParagraph"/>
              <w:numPr>
                <w:ilvl w:val="0"/>
                <w:numId w:val="23"/>
              </w:numPr>
              <w:rPr>
                <w:sz w:val="24"/>
                <w:szCs w:val="24"/>
              </w:rPr>
            </w:pPr>
            <w:r w:rsidRPr="00DC18D2">
              <w:rPr>
                <w:sz w:val="24"/>
                <w:szCs w:val="24"/>
              </w:rPr>
              <w:t xml:space="preserve">Note the </w:t>
            </w:r>
            <w:r w:rsidR="00A72D1B" w:rsidRPr="00DC18D2">
              <w:rPr>
                <w:sz w:val="24"/>
                <w:szCs w:val="24"/>
              </w:rPr>
              <w:t xml:space="preserve">proposed </w:t>
            </w:r>
            <w:r w:rsidR="00916087" w:rsidRPr="00DC18D2">
              <w:rPr>
                <w:sz w:val="24"/>
                <w:szCs w:val="24"/>
              </w:rPr>
              <w:t xml:space="preserve">draft </w:t>
            </w:r>
            <w:r w:rsidR="005679D3">
              <w:rPr>
                <w:sz w:val="24"/>
                <w:szCs w:val="24"/>
              </w:rPr>
              <w:t>residential</w:t>
            </w:r>
            <w:r w:rsidR="00617473" w:rsidRPr="00DC18D2">
              <w:rPr>
                <w:sz w:val="24"/>
                <w:szCs w:val="24"/>
              </w:rPr>
              <w:t xml:space="preserve"> </w:t>
            </w:r>
            <w:r w:rsidR="00E10FD5" w:rsidRPr="00DC18D2">
              <w:rPr>
                <w:sz w:val="24"/>
                <w:szCs w:val="24"/>
              </w:rPr>
              <w:t xml:space="preserve">conversion </w:t>
            </w:r>
            <w:r w:rsidR="00DC18D2" w:rsidRPr="00DC18D2">
              <w:rPr>
                <w:sz w:val="24"/>
                <w:szCs w:val="24"/>
              </w:rPr>
              <w:t xml:space="preserve">design principles and images </w:t>
            </w:r>
            <w:r w:rsidR="00A72D1B" w:rsidRPr="00DC18D2">
              <w:rPr>
                <w:sz w:val="24"/>
                <w:szCs w:val="24"/>
              </w:rPr>
              <w:t>contained in Appendix 1</w:t>
            </w:r>
          </w:p>
          <w:p w14:paraId="4C1C256E" w14:textId="264F0A0D" w:rsidR="0028779D" w:rsidRPr="00C00A84" w:rsidRDefault="0028779D" w:rsidP="000A32B9">
            <w:pPr>
              <w:pStyle w:val="ListParagraph"/>
              <w:numPr>
                <w:ilvl w:val="0"/>
                <w:numId w:val="23"/>
              </w:numPr>
              <w:rPr>
                <w:sz w:val="24"/>
                <w:szCs w:val="24"/>
              </w:rPr>
            </w:pPr>
            <w:r w:rsidRPr="00C00A84">
              <w:rPr>
                <w:sz w:val="24"/>
                <w:szCs w:val="24"/>
              </w:rPr>
              <w:t xml:space="preserve">Note the proposed </w:t>
            </w:r>
            <w:r w:rsidR="0052068D" w:rsidRPr="00C00A84">
              <w:rPr>
                <w:sz w:val="24"/>
                <w:szCs w:val="24"/>
              </w:rPr>
              <w:t>t</w:t>
            </w:r>
            <w:r w:rsidRPr="00C00A84">
              <w:rPr>
                <w:sz w:val="24"/>
                <w:szCs w:val="24"/>
              </w:rPr>
              <w:t xml:space="preserve">imetable </w:t>
            </w:r>
            <w:r w:rsidR="0052068D" w:rsidRPr="00C00A84">
              <w:rPr>
                <w:sz w:val="24"/>
                <w:szCs w:val="24"/>
              </w:rPr>
              <w:t xml:space="preserve">headlines </w:t>
            </w:r>
            <w:r w:rsidRPr="00C00A84">
              <w:rPr>
                <w:sz w:val="24"/>
                <w:szCs w:val="24"/>
              </w:rPr>
              <w:t xml:space="preserve">contained </w:t>
            </w:r>
            <w:r w:rsidR="00F156AA">
              <w:rPr>
                <w:sz w:val="24"/>
                <w:szCs w:val="24"/>
              </w:rPr>
              <w:t xml:space="preserve">within </w:t>
            </w:r>
            <w:r w:rsidR="0052068D" w:rsidRPr="00C00A84">
              <w:rPr>
                <w:sz w:val="24"/>
                <w:szCs w:val="24"/>
              </w:rPr>
              <w:t xml:space="preserve">paragraph </w:t>
            </w:r>
            <w:r w:rsidR="00154F8A">
              <w:rPr>
                <w:sz w:val="24"/>
                <w:szCs w:val="24"/>
              </w:rPr>
              <w:t>4.5</w:t>
            </w:r>
          </w:p>
          <w:p w14:paraId="211A5E2E" w14:textId="69F811EF" w:rsidR="001B7D8A" w:rsidRPr="00E51CD1" w:rsidRDefault="001B7D8A" w:rsidP="000A32B9">
            <w:pPr>
              <w:pStyle w:val="ListParagraph"/>
              <w:numPr>
                <w:ilvl w:val="0"/>
                <w:numId w:val="23"/>
              </w:numPr>
              <w:rPr>
                <w:sz w:val="24"/>
                <w:szCs w:val="24"/>
              </w:rPr>
            </w:pPr>
            <w:r w:rsidRPr="00E51CD1">
              <w:rPr>
                <w:sz w:val="24"/>
                <w:szCs w:val="24"/>
              </w:rPr>
              <w:t xml:space="preserve">Provide </w:t>
            </w:r>
            <w:r w:rsidR="00C70BD2" w:rsidRPr="00E51CD1">
              <w:rPr>
                <w:sz w:val="24"/>
                <w:szCs w:val="24"/>
              </w:rPr>
              <w:t xml:space="preserve">comments / </w:t>
            </w:r>
            <w:r w:rsidRPr="00E51CD1">
              <w:rPr>
                <w:sz w:val="24"/>
                <w:szCs w:val="24"/>
              </w:rPr>
              <w:t xml:space="preserve">feedback </w:t>
            </w:r>
            <w:r w:rsidR="00C26FCF">
              <w:rPr>
                <w:sz w:val="24"/>
                <w:szCs w:val="24"/>
              </w:rPr>
              <w:t xml:space="preserve">in relation to the information set out in this report and associated appendices. </w:t>
            </w:r>
          </w:p>
          <w:p w14:paraId="250837B3" w14:textId="62748A7B" w:rsidR="00C84AD3" w:rsidRDefault="001F31D6" w:rsidP="001F31D6">
            <w:pPr>
              <w:pStyle w:val="Heading3"/>
              <w:spacing w:before="240" w:after="240"/>
              <w:ind w:left="0" w:firstLine="0"/>
            </w:pPr>
            <w:r>
              <w:t>Reason: (f</w:t>
            </w:r>
            <w:r w:rsidR="00DB1857">
              <w:t>or recommendation)</w:t>
            </w:r>
            <w:r w:rsidR="008D0B76">
              <w:t xml:space="preserve"> </w:t>
            </w:r>
            <w:r>
              <w:t xml:space="preserve"> </w:t>
            </w:r>
          </w:p>
          <w:p w14:paraId="6869FC10" w14:textId="0810C99B" w:rsidR="005441BD" w:rsidRDefault="001B42D8" w:rsidP="00154F8A">
            <w:pPr>
              <w:jc w:val="both"/>
            </w:pPr>
            <w:r w:rsidRPr="00EE7E92">
              <w:t xml:space="preserve">To </w:t>
            </w:r>
            <w:r w:rsidR="00987B92" w:rsidRPr="00EE7E92">
              <w:t xml:space="preserve">outline the approach to </w:t>
            </w:r>
            <w:r w:rsidRPr="00EE7E92">
              <w:t>prepar</w:t>
            </w:r>
            <w:r w:rsidR="00FA1302" w:rsidRPr="00EE7E92">
              <w:t>ing</w:t>
            </w:r>
            <w:r w:rsidR="009E424B" w:rsidRPr="00EE7E92">
              <w:t xml:space="preserve"> design guidance for </w:t>
            </w:r>
            <w:r w:rsidR="00AD0E5F">
              <w:t>residential</w:t>
            </w:r>
            <w:r w:rsidR="00AD0E5F" w:rsidRPr="00EE7E92">
              <w:t xml:space="preserve"> </w:t>
            </w:r>
            <w:r w:rsidR="009E424B" w:rsidRPr="00EE7E92">
              <w:t>conversions</w:t>
            </w:r>
            <w:r w:rsidR="00AD0E5F">
              <w:t xml:space="preserve"> (</w:t>
            </w:r>
            <w:r w:rsidR="00617473">
              <w:t>dwelling houses into flats, regardless of whether extensions are also proposed)</w:t>
            </w:r>
            <w:r w:rsidR="009E424B" w:rsidRPr="00EE7E92">
              <w:t>, as a</w:t>
            </w:r>
            <w:r w:rsidR="000E7013">
              <w:t>n additional</w:t>
            </w:r>
            <w:r w:rsidR="009E424B" w:rsidRPr="00EE7E92">
              <w:t xml:space="preserve"> chapter within the</w:t>
            </w:r>
            <w:r w:rsidR="0012637C" w:rsidRPr="00EE7E92">
              <w:t xml:space="preserve"> draft</w:t>
            </w:r>
            <w:r w:rsidR="009E424B" w:rsidRPr="00EE7E92">
              <w:t xml:space="preserve"> Small Sites Design Code </w:t>
            </w:r>
            <w:r w:rsidRPr="00EE7E92">
              <w:t>Supplementary Planning Document</w:t>
            </w:r>
            <w:r w:rsidR="009364E4" w:rsidRPr="00EE7E92">
              <w:t>, and to provide</w:t>
            </w:r>
            <w:r w:rsidR="000E7443" w:rsidRPr="00EE7E92">
              <w:t xml:space="preserve"> further </w:t>
            </w:r>
            <w:r w:rsidR="005D17D2" w:rsidRPr="00EE7E92">
              <w:t xml:space="preserve">detail to </w:t>
            </w:r>
            <w:r w:rsidR="000E7013">
              <w:t xml:space="preserve">the draft </w:t>
            </w:r>
            <w:r w:rsidR="005D17D2" w:rsidRPr="00EE7E92">
              <w:t>residential design guidance</w:t>
            </w:r>
            <w:r w:rsidRPr="00EE7E92">
              <w:t>.</w:t>
            </w:r>
            <w:r>
              <w:t xml:space="preserve"> </w:t>
            </w:r>
          </w:p>
          <w:p w14:paraId="7339B5C9" w14:textId="3AB5B83E" w:rsidR="00154F8A" w:rsidRDefault="00154F8A" w:rsidP="00154F8A">
            <w:pPr>
              <w:jc w:val="both"/>
            </w:pPr>
          </w:p>
        </w:tc>
      </w:tr>
    </w:tbl>
    <w:p w14:paraId="7EB137CB" w14:textId="77777777" w:rsidR="005C1159" w:rsidRDefault="005C1159">
      <w:pPr>
        <w:pStyle w:val="Heading1"/>
        <w:jc w:val="center"/>
        <w:rPr>
          <w:color w:val="0000FF"/>
          <w:sz w:val="28"/>
        </w:rPr>
        <w:sectPr w:rsidR="005C1159" w:rsidSect="002D7BE3">
          <w:footerReference w:type="default" r:id="rId12"/>
          <w:footerReference w:type="first" r:id="rId13"/>
          <w:pgSz w:w="11909" w:h="16834" w:code="9"/>
          <w:pgMar w:top="864" w:right="1800" w:bottom="0" w:left="1800" w:header="1008" w:footer="432" w:gutter="0"/>
          <w:cols w:space="720"/>
          <w:docGrid w:linePitch="360"/>
        </w:sectPr>
      </w:pPr>
    </w:p>
    <w:p w14:paraId="6FB6728F" w14:textId="77777777" w:rsidR="005441BD" w:rsidRDefault="005441BD" w:rsidP="004E23FF">
      <w:pPr>
        <w:pStyle w:val="Heading2"/>
        <w:keepNext/>
        <w:spacing w:before="480"/>
      </w:pPr>
      <w:r>
        <w:t>Section 2 – Report</w:t>
      </w:r>
    </w:p>
    <w:p w14:paraId="0901A58A" w14:textId="77777777" w:rsidR="005441BD" w:rsidRDefault="005441BD" w:rsidP="004E23FF">
      <w:pPr>
        <w:keepNext/>
      </w:pPr>
    </w:p>
    <w:p w14:paraId="1F38596E" w14:textId="23775619" w:rsidR="005441BD" w:rsidRDefault="008D5F92" w:rsidP="004E23FF">
      <w:pPr>
        <w:pStyle w:val="Heading3"/>
        <w:keepNext/>
      </w:pPr>
      <w:r>
        <w:t>1.0</w:t>
      </w:r>
      <w:r>
        <w:tab/>
      </w:r>
      <w:r w:rsidR="005441BD">
        <w:t>Introduct</w:t>
      </w:r>
      <w:r w:rsidR="000029FE">
        <w:t>ion</w:t>
      </w:r>
    </w:p>
    <w:p w14:paraId="25D04D51" w14:textId="4332E5B5" w:rsidR="00336C8B" w:rsidRPr="007250CE" w:rsidRDefault="00336C8B" w:rsidP="004E23FF">
      <w:pPr>
        <w:keepNext/>
        <w:rPr>
          <w:szCs w:val="24"/>
        </w:rPr>
      </w:pPr>
    </w:p>
    <w:p w14:paraId="462CEBE0" w14:textId="4F8E01F0" w:rsidR="00336C8B" w:rsidRPr="007250CE" w:rsidRDefault="00E45139" w:rsidP="007E2085">
      <w:pPr>
        <w:pStyle w:val="ListParagraph"/>
        <w:numPr>
          <w:ilvl w:val="1"/>
          <w:numId w:val="16"/>
        </w:numPr>
        <w:jc w:val="both"/>
        <w:rPr>
          <w:sz w:val="24"/>
          <w:szCs w:val="24"/>
        </w:rPr>
      </w:pPr>
      <w:r w:rsidRPr="007250CE">
        <w:rPr>
          <w:sz w:val="24"/>
          <w:szCs w:val="24"/>
        </w:rPr>
        <w:t>T</w:t>
      </w:r>
      <w:r w:rsidR="00336C8B" w:rsidRPr="007250CE">
        <w:rPr>
          <w:sz w:val="24"/>
          <w:szCs w:val="24"/>
        </w:rPr>
        <w:t xml:space="preserve">he Council has committed to prepare </w:t>
      </w:r>
      <w:r w:rsidR="006470A7" w:rsidRPr="007250CE">
        <w:rPr>
          <w:sz w:val="24"/>
          <w:szCs w:val="24"/>
        </w:rPr>
        <w:t xml:space="preserve">design guidance for the conversion </w:t>
      </w:r>
      <w:r w:rsidR="00EA5D59">
        <w:rPr>
          <w:sz w:val="24"/>
          <w:szCs w:val="24"/>
        </w:rPr>
        <w:t>of dwelling houses into</w:t>
      </w:r>
      <w:r w:rsidR="00EA5D59" w:rsidRPr="007250CE">
        <w:rPr>
          <w:sz w:val="24"/>
          <w:szCs w:val="24"/>
        </w:rPr>
        <w:t xml:space="preserve"> </w:t>
      </w:r>
      <w:r w:rsidR="006470A7" w:rsidRPr="007250CE">
        <w:rPr>
          <w:sz w:val="24"/>
          <w:szCs w:val="24"/>
        </w:rPr>
        <w:t>flats</w:t>
      </w:r>
      <w:r w:rsidR="00336C8B" w:rsidRPr="007250CE">
        <w:rPr>
          <w:rStyle w:val="FootnoteReference"/>
          <w:sz w:val="24"/>
          <w:szCs w:val="24"/>
        </w:rPr>
        <w:footnoteReference w:id="1"/>
      </w:r>
      <w:r w:rsidR="00336C8B" w:rsidRPr="007250CE">
        <w:rPr>
          <w:sz w:val="24"/>
          <w:szCs w:val="24"/>
        </w:rPr>
        <w:t>. Accordingly, the following report sets out an approach to progressing</w:t>
      </w:r>
      <w:r w:rsidR="008750BE" w:rsidRPr="007250CE">
        <w:rPr>
          <w:sz w:val="24"/>
          <w:szCs w:val="24"/>
        </w:rPr>
        <w:t xml:space="preserve"> a</w:t>
      </w:r>
      <w:r w:rsidR="00336C8B" w:rsidRPr="007250CE">
        <w:rPr>
          <w:sz w:val="24"/>
          <w:szCs w:val="24"/>
        </w:rPr>
        <w:t xml:space="preserve"> </w:t>
      </w:r>
      <w:r w:rsidR="00EA5D59">
        <w:rPr>
          <w:sz w:val="24"/>
          <w:szCs w:val="24"/>
        </w:rPr>
        <w:t>residential</w:t>
      </w:r>
      <w:r w:rsidR="00EA5D59" w:rsidRPr="007250CE">
        <w:rPr>
          <w:sz w:val="24"/>
          <w:szCs w:val="24"/>
        </w:rPr>
        <w:t xml:space="preserve"> </w:t>
      </w:r>
      <w:r w:rsidR="00BE1AB7" w:rsidRPr="007250CE">
        <w:rPr>
          <w:sz w:val="24"/>
          <w:szCs w:val="24"/>
        </w:rPr>
        <w:t xml:space="preserve">conversion guidance chapter as part of the </w:t>
      </w:r>
      <w:r w:rsidR="00C5647E">
        <w:rPr>
          <w:sz w:val="24"/>
          <w:szCs w:val="24"/>
        </w:rPr>
        <w:t xml:space="preserve">draft </w:t>
      </w:r>
      <w:r w:rsidR="00BE1AB7" w:rsidRPr="007250CE">
        <w:rPr>
          <w:sz w:val="24"/>
          <w:szCs w:val="24"/>
        </w:rPr>
        <w:t xml:space="preserve">Small Sites Design Code </w:t>
      </w:r>
      <w:r w:rsidR="00336C8B" w:rsidRPr="007250CE">
        <w:rPr>
          <w:sz w:val="24"/>
          <w:szCs w:val="24"/>
        </w:rPr>
        <w:t xml:space="preserve">SPD, which will directly respond to meeting </w:t>
      </w:r>
      <w:r w:rsidR="00E85ECD" w:rsidRPr="007250CE">
        <w:rPr>
          <w:sz w:val="24"/>
          <w:szCs w:val="24"/>
        </w:rPr>
        <w:t xml:space="preserve">a stated </w:t>
      </w:r>
      <w:r w:rsidR="00336C8B" w:rsidRPr="007250CE">
        <w:rPr>
          <w:sz w:val="24"/>
          <w:szCs w:val="24"/>
        </w:rPr>
        <w:t xml:space="preserve">priority of the </w:t>
      </w:r>
      <w:r w:rsidR="000F581B" w:rsidRPr="007250CE">
        <w:rPr>
          <w:sz w:val="24"/>
          <w:szCs w:val="24"/>
        </w:rPr>
        <w:t>Council</w:t>
      </w:r>
      <w:r w:rsidR="008750BE" w:rsidRPr="007250CE">
        <w:rPr>
          <w:sz w:val="24"/>
          <w:szCs w:val="24"/>
        </w:rPr>
        <w:t>.</w:t>
      </w:r>
    </w:p>
    <w:p w14:paraId="359D0549" w14:textId="77777777" w:rsidR="007250CE" w:rsidRPr="007250CE" w:rsidRDefault="007250CE" w:rsidP="007250CE">
      <w:pPr>
        <w:pStyle w:val="ListParagraph"/>
        <w:jc w:val="both"/>
        <w:rPr>
          <w:sz w:val="24"/>
          <w:szCs w:val="24"/>
        </w:rPr>
      </w:pPr>
    </w:p>
    <w:p w14:paraId="5023152F" w14:textId="4702F49A" w:rsidR="007E2085" w:rsidRDefault="007250CE" w:rsidP="007E2085">
      <w:pPr>
        <w:pStyle w:val="ListParagraph"/>
        <w:numPr>
          <w:ilvl w:val="1"/>
          <w:numId w:val="16"/>
        </w:numPr>
        <w:jc w:val="both"/>
        <w:rPr>
          <w:sz w:val="24"/>
          <w:szCs w:val="24"/>
        </w:rPr>
      </w:pPr>
      <w:r w:rsidRPr="00A64602">
        <w:rPr>
          <w:sz w:val="24"/>
          <w:szCs w:val="24"/>
        </w:rPr>
        <w:t xml:space="preserve">The Draft Small </w:t>
      </w:r>
      <w:r w:rsidR="00A64602" w:rsidRPr="00A64602">
        <w:rPr>
          <w:sz w:val="24"/>
          <w:szCs w:val="24"/>
        </w:rPr>
        <w:t>Site Design Code SPD</w:t>
      </w:r>
      <w:r w:rsidR="00E716C3">
        <w:rPr>
          <w:sz w:val="24"/>
          <w:szCs w:val="24"/>
        </w:rPr>
        <w:t xml:space="preserve"> provides </w:t>
      </w:r>
      <w:r w:rsidR="00BB4B39">
        <w:rPr>
          <w:sz w:val="24"/>
          <w:szCs w:val="24"/>
        </w:rPr>
        <w:t>borough</w:t>
      </w:r>
      <w:r w:rsidR="00E716C3">
        <w:rPr>
          <w:sz w:val="24"/>
          <w:szCs w:val="24"/>
        </w:rPr>
        <w:t xml:space="preserve"> wide design prin</w:t>
      </w:r>
      <w:r w:rsidR="00BB4B39">
        <w:rPr>
          <w:sz w:val="24"/>
          <w:szCs w:val="24"/>
        </w:rPr>
        <w:t>c</w:t>
      </w:r>
      <w:r w:rsidR="00E716C3">
        <w:rPr>
          <w:sz w:val="24"/>
          <w:szCs w:val="24"/>
        </w:rPr>
        <w:t>ipl</w:t>
      </w:r>
      <w:r w:rsidR="00BB4B39">
        <w:rPr>
          <w:sz w:val="24"/>
          <w:szCs w:val="24"/>
        </w:rPr>
        <w:t>e</w:t>
      </w:r>
      <w:r w:rsidR="00E716C3">
        <w:rPr>
          <w:sz w:val="24"/>
          <w:szCs w:val="24"/>
        </w:rPr>
        <w:t>s for small site development, however by reason of feedback through th</w:t>
      </w:r>
      <w:r w:rsidR="00BB4B39">
        <w:rPr>
          <w:sz w:val="24"/>
          <w:szCs w:val="24"/>
        </w:rPr>
        <w:t>e consultation undertaken for this document</w:t>
      </w:r>
      <w:r w:rsidR="00A7751B">
        <w:rPr>
          <w:sz w:val="24"/>
          <w:szCs w:val="24"/>
        </w:rPr>
        <w:t xml:space="preserve"> (</w:t>
      </w:r>
      <w:r w:rsidR="009F08BD" w:rsidRPr="00E81A41">
        <w:t>December 2021 – January 2022</w:t>
      </w:r>
      <w:r w:rsidR="00A7751B">
        <w:rPr>
          <w:sz w:val="24"/>
          <w:szCs w:val="24"/>
        </w:rPr>
        <w:t>)</w:t>
      </w:r>
      <w:r w:rsidR="00BB4B39">
        <w:rPr>
          <w:sz w:val="24"/>
          <w:szCs w:val="24"/>
        </w:rPr>
        <w:t xml:space="preserve">, </w:t>
      </w:r>
      <w:r w:rsidR="007146CD">
        <w:rPr>
          <w:sz w:val="24"/>
          <w:szCs w:val="24"/>
        </w:rPr>
        <w:t xml:space="preserve">it was </w:t>
      </w:r>
      <w:r w:rsidR="00880885">
        <w:rPr>
          <w:sz w:val="24"/>
          <w:szCs w:val="24"/>
        </w:rPr>
        <w:t>requested</w:t>
      </w:r>
      <w:r w:rsidR="00BB4B39">
        <w:rPr>
          <w:sz w:val="24"/>
          <w:szCs w:val="24"/>
        </w:rPr>
        <w:t xml:space="preserve"> that more </w:t>
      </w:r>
      <w:r w:rsidR="003C2C2F">
        <w:rPr>
          <w:sz w:val="24"/>
          <w:szCs w:val="24"/>
        </w:rPr>
        <w:t>guidance</w:t>
      </w:r>
      <w:r w:rsidR="00BB4B39">
        <w:rPr>
          <w:sz w:val="24"/>
          <w:szCs w:val="24"/>
        </w:rPr>
        <w:t xml:space="preserve"> on</w:t>
      </w:r>
      <w:r w:rsidR="00634E5C">
        <w:rPr>
          <w:sz w:val="24"/>
          <w:szCs w:val="24"/>
        </w:rPr>
        <w:t xml:space="preserve"> residential</w:t>
      </w:r>
      <w:r w:rsidR="00C8430E">
        <w:rPr>
          <w:sz w:val="24"/>
          <w:szCs w:val="24"/>
        </w:rPr>
        <w:t xml:space="preserve"> </w:t>
      </w:r>
      <w:r w:rsidR="003C2C2F">
        <w:rPr>
          <w:sz w:val="24"/>
          <w:szCs w:val="24"/>
        </w:rPr>
        <w:t xml:space="preserve">conversions and residential extensions </w:t>
      </w:r>
      <w:r w:rsidR="00230570">
        <w:rPr>
          <w:sz w:val="24"/>
          <w:szCs w:val="24"/>
        </w:rPr>
        <w:t>be provided</w:t>
      </w:r>
      <w:r w:rsidR="001F21F4">
        <w:rPr>
          <w:sz w:val="24"/>
          <w:szCs w:val="24"/>
        </w:rPr>
        <w:t xml:space="preserve"> within the document</w:t>
      </w:r>
      <w:r w:rsidR="00230570">
        <w:rPr>
          <w:sz w:val="24"/>
          <w:szCs w:val="24"/>
        </w:rPr>
        <w:t xml:space="preserve">. </w:t>
      </w:r>
    </w:p>
    <w:p w14:paraId="4F763968" w14:textId="60475134" w:rsidR="005441BD" w:rsidRPr="004E23FF" w:rsidRDefault="00BB7BA8" w:rsidP="00490D5B">
      <w:pPr>
        <w:pStyle w:val="Heading3"/>
        <w:keepNext/>
        <w:spacing w:before="240"/>
        <w:ind w:left="0" w:firstLine="0"/>
      </w:pPr>
      <w:r w:rsidRPr="004E23FF">
        <w:t>2.0</w:t>
      </w:r>
      <w:r w:rsidRPr="004E23FF">
        <w:tab/>
      </w:r>
      <w:r w:rsidR="005441BD" w:rsidRPr="004E23FF">
        <w:t>Options considered</w:t>
      </w:r>
    </w:p>
    <w:p w14:paraId="2B0324EA" w14:textId="77777777" w:rsidR="00304C87" w:rsidRPr="004E23FF" w:rsidRDefault="00304C87" w:rsidP="00490D5B">
      <w:pPr>
        <w:keepNext/>
        <w:rPr>
          <w:sz w:val="28"/>
          <w:szCs w:val="28"/>
        </w:rPr>
      </w:pPr>
    </w:p>
    <w:p w14:paraId="58E23E4C" w14:textId="49A4A921" w:rsidR="00845B8D" w:rsidRDefault="00114AF0" w:rsidP="00114AF0">
      <w:pPr>
        <w:ind w:left="720" w:hanging="720"/>
        <w:jc w:val="both"/>
      </w:pPr>
      <w:r w:rsidRPr="007250CE">
        <w:rPr>
          <w:szCs w:val="24"/>
        </w:rPr>
        <w:t>2.</w:t>
      </w:r>
      <w:r w:rsidR="00ED0DB9" w:rsidRPr="007250CE">
        <w:rPr>
          <w:szCs w:val="24"/>
        </w:rPr>
        <w:t>1</w:t>
      </w:r>
      <w:r w:rsidRPr="007250CE">
        <w:rPr>
          <w:szCs w:val="24"/>
        </w:rPr>
        <w:tab/>
      </w:r>
      <w:r w:rsidR="0034297B" w:rsidRPr="007250CE">
        <w:rPr>
          <w:szCs w:val="24"/>
        </w:rPr>
        <w:t xml:space="preserve">To do nothing </w:t>
      </w:r>
      <w:r w:rsidR="00EF32CB">
        <w:rPr>
          <w:szCs w:val="24"/>
        </w:rPr>
        <w:t>would require</w:t>
      </w:r>
      <w:r w:rsidR="0034297B" w:rsidRPr="007250CE">
        <w:rPr>
          <w:szCs w:val="24"/>
        </w:rPr>
        <w:t xml:space="preserve"> rely</w:t>
      </w:r>
      <w:r w:rsidR="00EF32CB">
        <w:rPr>
          <w:szCs w:val="24"/>
        </w:rPr>
        <w:t>ing</w:t>
      </w:r>
      <w:r w:rsidR="0034297B" w:rsidRPr="007250CE">
        <w:rPr>
          <w:szCs w:val="24"/>
        </w:rPr>
        <w:t xml:space="preserve"> on the existing local policy framework (Core Strategy and Development</w:t>
      </w:r>
      <w:r w:rsidR="0034297B" w:rsidRPr="00FF2685">
        <w:t xml:space="preserve"> Management Policies adopted in 2012 and 2013 respectively)</w:t>
      </w:r>
      <w:r w:rsidR="00AF000B">
        <w:t xml:space="preserve">, and the existing Residential </w:t>
      </w:r>
      <w:r w:rsidR="004F148C">
        <w:t>Design</w:t>
      </w:r>
      <w:r w:rsidR="00AF000B">
        <w:t xml:space="preserve"> </w:t>
      </w:r>
      <w:r w:rsidR="00856972">
        <w:t>Code</w:t>
      </w:r>
      <w:r w:rsidR="004F148C">
        <w:t xml:space="preserve"> Supplementary Planning Document (2010)</w:t>
      </w:r>
      <w:r w:rsidR="0034297B" w:rsidRPr="00FF2685">
        <w:t>. The London Plan 2021 has been subsequently published and the update to the Local Plan will not be completed and adopted for at least t</w:t>
      </w:r>
      <w:r w:rsidR="004E7829">
        <w:t>hree</w:t>
      </w:r>
      <w:r w:rsidR="0034297B" w:rsidRPr="00FF2685">
        <w:t xml:space="preserve"> years meaning to do nothing would leave a significant period without contemporary </w:t>
      </w:r>
      <w:r w:rsidR="007E4EEC">
        <w:t xml:space="preserve">and </w:t>
      </w:r>
      <w:r w:rsidR="00E64CF6">
        <w:t>user-friendly</w:t>
      </w:r>
      <w:r w:rsidR="007E4EEC">
        <w:t xml:space="preserve"> </w:t>
      </w:r>
      <w:r w:rsidR="0034297B" w:rsidRPr="00FF2685">
        <w:t xml:space="preserve">local guidance relating to </w:t>
      </w:r>
      <w:r w:rsidR="00A46841">
        <w:t xml:space="preserve">residential </w:t>
      </w:r>
      <w:r w:rsidR="003A4528">
        <w:t>conversions</w:t>
      </w:r>
      <w:r w:rsidR="0034297B" w:rsidRPr="00FF2685">
        <w:t>.</w:t>
      </w:r>
      <w:r w:rsidR="00D63E23">
        <w:t xml:space="preserve"> It would also not reflect the stated priority of the</w:t>
      </w:r>
      <w:r w:rsidR="00ED0DB9">
        <w:t xml:space="preserve"> Council to bring forward </w:t>
      </w:r>
      <w:r w:rsidR="003A4528">
        <w:t xml:space="preserve">design guidance </w:t>
      </w:r>
      <w:r w:rsidR="00261063">
        <w:t xml:space="preserve">in relation to </w:t>
      </w:r>
      <w:r w:rsidR="00F73781">
        <w:t xml:space="preserve">residential </w:t>
      </w:r>
      <w:r w:rsidR="00261063">
        <w:t>conversions across the borough</w:t>
      </w:r>
      <w:r w:rsidR="00ED0DB9">
        <w:t>.</w:t>
      </w:r>
    </w:p>
    <w:p w14:paraId="2EA9123E" w14:textId="77777777" w:rsidR="00F33029" w:rsidRDefault="00F33029" w:rsidP="00114AF0">
      <w:pPr>
        <w:ind w:left="720" w:hanging="720"/>
        <w:jc w:val="both"/>
      </w:pPr>
    </w:p>
    <w:p w14:paraId="1D92A274" w14:textId="5BDA0BF7" w:rsidR="00F33029" w:rsidRPr="00FF2685" w:rsidRDefault="00F33029" w:rsidP="00114AF0">
      <w:pPr>
        <w:ind w:left="720" w:hanging="720"/>
        <w:jc w:val="both"/>
        <w:rPr>
          <w:b/>
        </w:rPr>
      </w:pPr>
      <w:r>
        <w:lastRenderedPageBreak/>
        <w:t>2.2</w:t>
      </w:r>
      <w:r>
        <w:tab/>
        <w:t xml:space="preserve">An alternative option would be to progress a separate SPD focusing on </w:t>
      </w:r>
      <w:r w:rsidR="00923687">
        <w:t xml:space="preserve">residential conversions </w:t>
      </w:r>
      <w:r w:rsidR="00C04454">
        <w:t>only.</w:t>
      </w:r>
      <w:r w:rsidR="00D72803">
        <w:t xml:space="preserve"> This would have the benefit of being clear, visible </w:t>
      </w:r>
      <w:r w:rsidR="00E27CE6">
        <w:t xml:space="preserve">guidance relating to residential conversions. It would </w:t>
      </w:r>
      <w:r w:rsidR="009B5027">
        <w:t xml:space="preserve">however </w:t>
      </w:r>
      <w:r w:rsidR="002A6251">
        <w:t>mean that the benefits of combining such guidance alongside the general design principles relating to smal</w:t>
      </w:r>
      <w:r w:rsidR="009E502E">
        <w:t xml:space="preserve">l sites / residential extensions </w:t>
      </w:r>
      <w:r w:rsidR="005625CA">
        <w:t xml:space="preserve">(as proposed within this report) </w:t>
      </w:r>
      <w:r w:rsidR="009E502E">
        <w:t xml:space="preserve">would be diminished. </w:t>
      </w:r>
      <w:r w:rsidR="00397983">
        <w:t>The London Plan (through Policy H2: Small Sites)</w:t>
      </w:r>
      <w:r w:rsidR="00E27CE6">
        <w:t xml:space="preserve"> </w:t>
      </w:r>
      <w:r w:rsidR="00AD3FA1">
        <w:t xml:space="preserve">includes residential conversions within the scope of </w:t>
      </w:r>
      <w:r w:rsidR="00DA09AA">
        <w:t>‘</w:t>
      </w:r>
      <w:r w:rsidR="00AD3FA1">
        <w:t>small site</w:t>
      </w:r>
      <w:r w:rsidR="00DA09AA">
        <w:t>’</w:t>
      </w:r>
      <w:r w:rsidR="00AD3FA1">
        <w:t xml:space="preserve"> development </w:t>
      </w:r>
      <w:r w:rsidR="009B5027">
        <w:t xml:space="preserve">and including </w:t>
      </w:r>
      <w:r w:rsidR="00C81576">
        <w:t>residential conversion guidance as a chapter within</w:t>
      </w:r>
      <w:r w:rsidR="005625CA">
        <w:t xml:space="preserve"> the draft Small Sites Design Code SPD </w:t>
      </w:r>
      <w:r w:rsidR="00AF12B6">
        <w:t>would be consistent with that and give the conversions guidance greater weight. A</w:t>
      </w:r>
      <w:r w:rsidR="00B20528">
        <w:t>dditionally, a</w:t>
      </w:r>
      <w:r w:rsidR="00AF12B6">
        <w:t xml:space="preserve"> separate </w:t>
      </w:r>
      <w:r w:rsidR="00C20AE4">
        <w:t>SPD w</w:t>
      </w:r>
      <w:r w:rsidR="00C17842">
        <w:t xml:space="preserve">ould mean starting the </w:t>
      </w:r>
      <w:r w:rsidR="005F0189">
        <w:t>SPD process from the start (including consultation) as it would be a new SPD.</w:t>
      </w:r>
      <w:r w:rsidR="00AF2FA4">
        <w:t xml:space="preserve"> </w:t>
      </w:r>
      <w:r w:rsidR="00EE553A">
        <w:t xml:space="preserve">A separate SPD </w:t>
      </w:r>
      <w:r w:rsidR="00AF2FA4">
        <w:t xml:space="preserve">however remains a </w:t>
      </w:r>
      <w:r w:rsidR="00EE553A">
        <w:t xml:space="preserve">valid </w:t>
      </w:r>
      <w:r w:rsidR="00B83A76">
        <w:t>alternative</w:t>
      </w:r>
      <w:r w:rsidR="00AF2FA4">
        <w:t xml:space="preserve"> option for the Panel to comment on.</w:t>
      </w:r>
      <w:r w:rsidR="005B595A">
        <w:t xml:space="preserve"> If it </w:t>
      </w:r>
      <w:r w:rsidR="00071503">
        <w:t xml:space="preserve">was decided to proceed with incorporating the residential conversion guidance in the draft SPD, </w:t>
      </w:r>
      <w:r w:rsidR="00B46C50">
        <w:t>consideration could be given to incorporating refence to residential conversions within the SPD title or subtitle.</w:t>
      </w:r>
    </w:p>
    <w:p w14:paraId="1F8CC7EA" w14:textId="6E44E277" w:rsidR="00410C2B" w:rsidRPr="006D0B27" w:rsidRDefault="00114AF0" w:rsidP="00C05E03">
      <w:pPr>
        <w:pStyle w:val="Heading2"/>
        <w:keepNext/>
        <w:spacing w:before="240"/>
        <w:rPr>
          <w:rFonts w:ascii="Arial" w:hAnsi="Arial"/>
          <w:sz w:val="28"/>
          <w:szCs w:val="28"/>
        </w:rPr>
      </w:pPr>
      <w:r w:rsidRPr="006D0B27">
        <w:rPr>
          <w:rFonts w:ascii="Arial" w:hAnsi="Arial"/>
          <w:sz w:val="28"/>
          <w:szCs w:val="28"/>
        </w:rPr>
        <w:t>3.0</w:t>
      </w:r>
      <w:r w:rsidRPr="006D0B27">
        <w:rPr>
          <w:rFonts w:ascii="Arial" w:hAnsi="Arial"/>
          <w:sz w:val="28"/>
          <w:szCs w:val="28"/>
        </w:rPr>
        <w:tab/>
      </w:r>
      <w:r w:rsidR="00410C2B" w:rsidRPr="006D0B27">
        <w:rPr>
          <w:rFonts w:ascii="Arial" w:hAnsi="Arial"/>
          <w:sz w:val="28"/>
          <w:szCs w:val="28"/>
        </w:rPr>
        <w:t xml:space="preserve">Background </w:t>
      </w:r>
    </w:p>
    <w:p w14:paraId="20ECB2BC" w14:textId="33919443" w:rsidR="00845B8D" w:rsidRPr="006D0B27" w:rsidRDefault="00845B8D" w:rsidP="00C05E03">
      <w:pPr>
        <w:keepNext/>
      </w:pPr>
    </w:p>
    <w:p w14:paraId="7C366625" w14:textId="3546CD15" w:rsidR="00A812B5" w:rsidRDefault="00114AF0" w:rsidP="003E0849">
      <w:pPr>
        <w:ind w:left="720" w:hanging="720"/>
        <w:jc w:val="both"/>
      </w:pPr>
      <w:r>
        <w:t>3.1</w:t>
      </w:r>
      <w:r>
        <w:tab/>
      </w:r>
      <w:r w:rsidR="003E0849" w:rsidRPr="00FB0778">
        <w:t>Concern has been expressed about the standard of accommodation and design quality of residential conversions. These concerns include the quality of streetscape created through any physical alterations / extensions to the building itself, as well as additional infrastructure required to support the additional dwellings (</w:t>
      </w:r>
      <w:proofErr w:type="gramStart"/>
      <w:r w:rsidR="003E0849" w:rsidRPr="00FB0778">
        <w:t>i.e.</w:t>
      </w:r>
      <w:proofErr w:type="gramEnd"/>
      <w:r w:rsidR="003E0849" w:rsidRPr="00FB0778">
        <w:t xml:space="preserve"> hard standing for car parking, refuse containers</w:t>
      </w:r>
      <w:r w:rsidR="00C07C60">
        <w:t>, access to amenity space</w:t>
      </w:r>
      <w:r w:rsidR="003E0849" w:rsidRPr="00FB0778">
        <w:t xml:space="preserve"> etc).</w:t>
      </w:r>
      <w:r w:rsidR="00A46841">
        <w:t xml:space="preserve"> </w:t>
      </w:r>
      <w:r w:rsidR="0080356F">
        <w:t>Many of these</w:t>
      </w:r>
      <w:r w:rsidR="00A46841">
        <w:t xml:space="preserve"> issues can apply </w:t>
      </w:r>
      <w:r w:rsidR="0080356F">
        <w:t xml:space="preserve">regardless of </w:t>
      </w:r>
      <w:proofErr w:type="gramStart"/>
      <w:r w:rsidR="0080356F">
        <w:t>whether or not</w:t>
      </w:r>
      <w:proofErr w:type="gramEnd"/>
      <w:r w:rsidR="0080356F">
        <w:t xml:space="preserve"> extensions </w:t>
      </w:r>
      <w:r w:rsidR="00D06694">
        <w:t>are also proposed.</w:t>
      </w:r>
    </w:p>
    <w:p w14:paraId="455C0446" w14:textId="761CD515" w:rsidR="00EF034A" w:rsidRDefault="00EF034A" w:rsidP="003E0849">
      <w:pPr>
        <w:ind w:left="720" w:hanging="720"/>
        <w:jc w:val="both"/>
      </w:pPr>
    </w:p>
    <w:p w14:paraId="7C4A69BD" w14:textId="0E4BECC5" w:rsidR="00A76B33" w:rsidRDefault="00EF034A" w:rsidP="003E0849">
      <w:pPr>
        <w:ind w:left="720" w:hanging="720"/>
        <w:jc w:val="both"/>
      </w:pPr>
      <w:r>
        <w:t>3.2</w:t>
      </w:r>
      <w:r>
        <w:tab/>
      </w:r>
      <w:r w:rsidR="000A2241">
        <w:t xml:space="preserve">The Council has </w:t>
      </w:r>
      <w:r w:rsidR="001A3E62">
        <w:t xml:space="preserve">previously </w:t>
      </w:r>
      <w:r w:rsidR="000A2241">
        <w:t xml:space="preserve">committed to </w:t>
      </w:r>
      <w:r w:rsidR="00932DCB">
        <w:t xml:space="preserve">preparing </w:t>
      </w:r>
      <w:r w:rsidR="000A2241">
        <w:t xml:space="preserve">a Small Site </w:t>
      </w:r>
      <w:r w:rsidR="00403898">
        <w:t>Design</w:t>
      </w:r>
      <w:r w:rsidR="000A2241">
        <w:t xml:space="preserve"> Code Supplementary Planning Document</w:t>
      </w:r>
      <w:r w:rsidR="00403898">
        <w:t xml:space="preserve">, which includes </w:t>
      </w:r>
      <w:r w:rsidRPr="00E81A41">
        <w:t>updated design guidance in relation to small sites and householder development</w:t>
      </w:r>
      <w:r w:rsidR="00403898">
        <w:t>. This draft SPD</w:t>
      </w:r>
      <w:r w:rsidRPr="00E81A41">
        <w:t xml:space="preserve"> was consulted on in December 2021 – January 2022. The draft guidance </w:t>
      </w:r>
      <w:r w:rsidR="00C12681">
        <w:t>subject to</w:t>
      </w:r>
      <w:r w:rsidR="000A2241">
        <w:t xml:space="preserve"> </w:t>
      </w:r>
      <w:r w:rsidR="00C12681">
        <w:t xml:space="preserve">that consultation </w:t>
      </w:r>
      <w:r w:rsidRPr="00E81A41">
        <w:t>cover</w:t>
      </w:r>
      <w:r w:rsidR="00C12681">
        <w:t>ed</w:t>
      </w:r>
      <w:r w:rsidRPr="00E81A41">
        <w:t xml:space="preserve"> a range of design considerations that are applicable to residential conversions. </w:t>
      </w:r>
      <w:r w:rsidR="0006037D">
        <w:t xml:space="preserve">Feedback received in relation to the two consultation events that were held, and </w:t>
      </w:r>
      <w:r w:rsidR="00395991">
        <w:t xml:space="preserve">written feedback also, </w:t>
      </w:r>
      <w:r w:rsidR="00647693">
        <w:t xml:space="preserve">made it clear that more guidance </w:t>
      </w:r>
      <w:r w:rsidR="00EE62C8">
        <w:t xml:space="preserve">is required </w:t>
      </w:r>
      <w:r w:rsidR="00597C33">
        <w:t xml:space="preserve">to improve front gardens through </w:t>
      </w:r>
      <w:r w:rsidR="00D06694">
        <w:t xml:space="preserve">residential </w:t>
      </w:r>
      <w:r w:rsidR="00597C33">
        <w:t>conversions.</w:t>
      </w:r>
      <w:r w:rsidR="00B1048F">
        <w:t xml:space="preserve"> </w:t>
      </w:r>
    </w:p>
    <w:p w14:paraId="626DC8B9" w14:textId="77777777" w:rsidR="001F4D2F" w:rsidRDefault="001F4D2F" w:rsidP="003E0849">
      <w:pPr>
        <w:ind w:left="720" w:hanging="720"/>
        <w:jc w:val="both"/>
      </w:pPr>
    </w:p>
    <w:p w14:paraId="72A0B69B" w14:textId="55714442" w:rsidR="00451F68" w:rsidRDefault="001F4D2F" w:rsidP="003E0849">
      <w:pPr>
        <w:ind w:left="720" w:hanging="720"/>
        <w:jc w:val="both"/>
      </w:pPr>
      <w:r>
        <w:t>3.3</w:t>
      </w:r>
      <w:r>
        <w:tab/>
      </w:r>
      <w:r w:rsidR="0078372E">
        <w:t>As part of t</w:t>
      </w:r>
      <w:r w:rsidR="00B1048F">
        <w:t>he Small Sites Design Code SPD</w:t>
      </w:r>
      <w:r w:rsidR="00711423">
        <w:t xml:space="preserve"> </w:t>
      </w:r>
      <w:r w:rsidR="0078372E">
        <w:t xml:space="preserve">that was consulted upon, it included </w:t>
      </w:r>
      <w:r w:rsidR="00A34A6F">
        <w:t>residential extension</w:t>
      </w:r>
      <w:r w:rsidR="00A34ED9">
        <w:t xml:space="preserve"> guidance</w:t>
      </w:r>
      <w:r w:rsidR="004F2CE9">
        <w:t xml:space="preserve"> which is anticipated to replace the existing guidance within the Harrow Residential Design</w:t>
      </w:r>
      <w:r w:rsidR="00BD3B77">
        <w:t xml:space="preserve"> Guide SPD (2010). Following the consultation process,</w:t>
      </w:r>
      <w:r w:rsidR="00C31181">
        <w:t xml:space="preserve"> feedback sought a greater leve</w:t>
      </w:r>
      <w:r w:rsidR="00EC3406">
        <w:t>l</w:t>
      </w:r>
      <w:r w:rsidR="00C31181">
        <w:t xml:space="preserve"> of detail</w:t>
      </w:r>
      <w:r w:rsidR="004F7830">
        <w:t xml:space="preserve"> in the document</w:t>
      </w:r>
      <w:r w:rsidR="00C31181">
        <w:t xml:space="preserve"> </w:t>
      </w:r>
      <w:r w:rsidR="00EC3406">
        <w:t>to support applications for householder extensions</w:t>
      </w:r>
      <w:r w:rsidR="00B1048F">
        <w:t>.</w:t>
      </w:r>
    </w:p>
    <w:p w14:paraId="546D199C" w14:textId="787C561A" w:rsidR="005B0D6F" w:rsidRDefault="005B0D6F" w:rsidP="003E0849">
      <w:pPr>
        <w:ind w:left="720" w:hanging="720"/>
        <w:jc w:val="both"/>
      </w:pPr>
    </w:p>
    <w:p w14:paraId="55001AE1" w14:textId="11C6F678" w:rsidR="005B0D6F" w:rsidRDefault="005B0D6F" w:rsidP="003E0849">
      <w:pPr>
        <w:ind w:left="720" w:hanging="720"/>
        <w:jc w:val="both"/>
      </w:pPr>
      <w:r>
        <w:t>3.4</w:t>
      </w:r>
      <w:r>
        <w:tab/>
        <w:t xml:space="preserve">The Small Sites </w:t>
      </w:r>
      <w:r w:rsidR="00C10182">
        <w:t>Design</w:t>
      </w:r>
      <w:r>
        <w:t xml:space="preserve"> Code SPD </w:t>
      </w:r>
      <w:r w:rsidR="00E30DC6">
        <w:t xml:space="preserve">has a range of borough wide design </w:t>
      </w:r>
      <w:r w:rsidR="00C10182">
        <w:t>principles</w:t>
      </w:r>
      <w:r w:rsidR="00E30DC6">
        <w:t xml:space="preserve">, </w:t>
      </w:r>
      <w:r w:rsidR="00C10182">
        <w:t xml:space="preserve">and </w:t>
      </w:r>
      <w:r w:rsidR="00E30DC6">
        <w:t xml:space="preserve">whilst </w:t>
      </w:r>
      <w:r w:rsidR="00C10182">
        <w:t>specifically</w:t>
      </w:r>
      <w:r w:rsidR="00E30DC6">
        <w:t xml:space="preserve"> progressed to assist in </w:t>
      </w:r>
      <w:r w:rsidR="006D4137">
        <w:t xml:space="preserve">bringing forward successful small site applications, </w:t>
      </w:r>
      <w:r w:rsidR="00312B68">
        <w:t xml:space="preserve">would be </w:t>
      </w:r>
      <w:r w:rsidR="0037724D">
        <w:t xml:space="preserve">appropriate as general </w:t>
      </w:r>
      <w:r w:rsidR="0061170A">
        <w:t>guidance</w:t>
      </w:r>
      <w:r w:rsidR="00B82F1C">
        <w:t xml:space="preserve"> only</w:t>
      </w:r>
      <w:r w:rsidR="0037724D">
        <w:t xml:space="preserve"> for </w:t>
      </w:r>
      <w:r w:rsidR="007A70F2">
        <w:t xml:space="preserve">residential </w:t>
      </w:r>
      <w:r w:rsidR="0061170A">
        <w:t>conversions and householder extension guidance.</w:t>
      </w:r>
      <w:r w:rsidR="00296C62">
        <w:t xml:space="preserve"> The draft Small Sites </w:t>
      </w:r>
      <w:r w:rsidR="00D36115">
        <w:t>Design</w:t>
      </w:r>
      <w:r w:rsidR="00296C62">
        <w:t xml:space="preserve"> Code SPD is attached as a </w:t>
      </w:r>
      <w:r w:rsidR="00296C62">
        <w:lastRenderedPageBreak/>
        <w:t>background paper.</w:t>
      </w:r>
      <w:r w:rsidR="00F24219">
        <w:t xml:space="preserve"> This document is still </w:t>
      </w:r>
      <w:r w:rsidR="00DA6FAE">
        <w:t xml:space="preserve">draft and as such continues to </w:t>
      </w:r>
      <w:r w:rsidR="00F24219">
        <w:t>evolv</w:t>
      </w:r>
      <w:r w:rsidR="00DA6FAE">
        <w:t>e,</w:t>
      </w:r>
      <w:r w:rsidR="00F24219">
        <w:t xml:space="preserve"> and </w:t>
      </w:r>
      <w:r w:rsidR="00DA6FAE">
        <w:t>accordingly has not been formally adopted by the Council.</w:t>
      </w:r>
    </w:p>
    <w:p w14:paraId="139E91E4" w14:textId="41B7AF70" w:rsidR="00480229" w:rsidRPr="00526150" w:rsidRDefault="00114AF0" w:rsidP="004138E3">
      <w:pPr>
        <w:pStyle w:val="Heading2"/>
        <w:keepNext/>
        <w:spacing w:before="240"/>
        <w:rPr>
          <w:rFonts w:ascii="Arial" w:hAnsi="Arial"/>
          <w:sz w:val="28"/>
          <w:szCs w:val="28"/>
        </w:rPr>
      </w:pPr>
      <w:r w:rsidRPr="00526150">
        <w:rPr>
          <w:rFonts w:ascii="Arial" w:hAnsi="Arial"/>
          <w:sz w:val="28"/>
          <w:szCs w:val="28"/>
        </w:rPr>
        <w:t>4.0</w:t>
      </w:r>
      <w:r w:rsidRPr="00526150">
        <w:rPr>
          <w:rFonts w:ascii="Arial" w:hAnsi="Arial"/>
          <w:sz w:val="28"/>
          <w:szCs w:val="28"/>
        </w:rPr>
        <w:tab/>
      </w:r>
      <w:r w:rsidR="00480229" w:rsidRPr="00526150">
        <w:rPr>
          <w:rFonts w:ascii="Arial" w:hAnsi="Arial"/>
          <w:sz w:val="28"/>
          <w:szCs w:val="28"/>
        </w:rPr>
        <w:t>Why a change is needed</w:t>
      </w:r>
    </w:p>
    <w:p w14:paraId="373CF403" w14:textId="47A6B174" w:rsidR="008F5AB4" w:rsidRPr="00526150" w:rsidRDefault="008F5AB4" w:rsidP="004138E3">
      <w:pPr>
        <w:keepNext/>
        <w:jc w:val="both"/>
        <w:rPr>
          <w:rFonts w:cs="Arial"/>
          <w:szCs w:val="24"/>
          <w:lang w:eastAsia="en-GB"/>
        </w:rPr>
      </w:pPr>
    </w:p>
    <w:p w14:paraId="5BA20893" w14:textId="62E7787F" w:rsidR="0020509D" w:rsidRPr="00F4345E" w:rsidRDefault="00114AF0" w:rsidP="00114AF0">
      <w:pPr>
        <w:ind w:left="720" w:hanging="720"/>
        <w:jc w:val="both"/>
      </w:pPr>
      <w:r>
        <w:t>4.1</w:t>
      </w:r>
      <w:r>
        <w:tab/>
      </w:r>
      <w:r w:rsidR="0020509D" w:rsidRPr="00F4345E">
        <w:t>The Local Plan process can span several years as it involves evidence gathering, policy development, at least two statutory periods of</w:t>
      </w:r>
      <w:r w:rsidR="0020509D">
        <w:t xml:space="preserve"> </w:t>
      </w:r>
      <w:r w:rsidR="0020509D" w:rsidRPr="00F4345E">
        <w:t>consultation and independent examination of the draft Local Plan by</w:t>
      </w:r>
      <w:r w:rsidR="0020509D">
        <w:t xml:space="preserve"> </w:t>
      </w:r>
      <w:r w:rsidR="0020509D" w:rsidRPr="00F4345E">
        <w:t>the Planning Inspectorate (which may also trigger further</w:t>
      </w:r>
      <w:r w:rsidR="0020509D">
        <w:t xml:space="preserve"> </w:t>
      </w:r>
      <w:r w:rsidR="0020509D" w:rsidRPr="00F4345E">
        <w:t>consultation).</w:t>
      </w:r>
    </w:p>
    <w:p w14:paraId="722FDB12" w14:textId="77777777" w:rsidR="0020509D" w:rsidRPr="00F4345E" w:rsidRDefault="0020509D" w:rsidP="0020509D">
      <w:pPr>
        <w:ind w:left="851" w:hanging="851"/>
        <w:jc w:val="both"/>
      </w:pPr>
    </w:p>
    <w:p w14:paraId="30F4426B" w14:textId="18EA1637" w:rsidR="0020509D" w:rsidRPr="00F4345E" w:rsidRDefault="00114AF0" w:rsidP="00114AF0">
      <w:pPr>
        <w:ind w:left="720" w:hanging="720"/>
        <w:jc w:val="both"/>
      </w:pPr>
      <w:r>
        <w:t>4.2</w:t>
      </w:r>
      <w:r>
        <w:tab/>
      </w:r>
      <w:r w:rsidR="0020509D" w:rsidRPr="00F4345E">
        <w:t xml:space="preserve">Proposals for </w:t>
      </w:r>
      <w:r w:rsidR="00B9285F">
        <w:t xml:space="preserve">residential </w:t>
      </w:r>
      <w:r w:rsidR="00320DA8">
        <w:t>conversions</w:t>
      </w:r>
      <w:r w:rsidR="0020509D" w:rsidRPr="00F4345E">
        <w:t xml:space="preserve"> </w:t>
      </w:r>
      <w:r w:rsidR="00B9285F">
        <w:t xml:space="preserve">(generally dwelling houses into flats, but sometimes flats </w:t>
      </w:r>
      <w:r w:rsidR="0062558E">
        <w:t xml:space="preserve">into additional flats) </w:t>
      </w:r>
      <w:r w:rsidR="0020509D" w:rsidRPr="00F4345E">
        <w:t xml:space="preserve">are coming forward in the meantime, with limited </w:t>
      </w:r>
      <w:r w:rsidR="00EE1D96">
        <w:t xml:space="preserve">contemporary, visual </w:t>
      </w:r>
      <w:r w:rsidR="008E4392">
        <w:t xml:space="preserve">design </w:t>
      </w:r>
      <w:r w:rsidR="0020509D" w:rsidRPr="00F4345E">
        <w:t>guidance in the current Local Plan</w:t>
      </w:r>
      <w:r w:rsidR="00B8492D">
        <w:t xml:space="preserve"> to assist with ensuring a high quality of design is achieved</w:t>
      </w:r>
      <w:r w:rsidR="0020509D" w:rsidRPr="00F4345E">
        <w:t xml:space="preserve">. </w:t>
      </w:r>
    </w:p>
    <w:p w14:paraId="60F28023" w14:textId="522AA61D" w:rsidR="0020509D" w:rsidRDefault="0020509D" w:rsidP="00295A60">
      <w:pPr>
        <w:jc w:val="both"/>
        <w:rPr>
          <w:rFonts w:cs="Arial"/>
          <w:szCs w:val="24"/>
          <w:lang w:eastAsia="en-GB"/>
        </w:rPr>
      </w:pPr>
    </w:p>
    <w:p w14:paraId="11596B84" w14:textId="44C5FDE4" w:rsidR="009E5550" w:rsidRDefault="00114AF0" w:rsidP="00114AF0">
      <w:pPr>
        <w:ind w:left="720" w:hanging="720"/>
        <w:jc w:val="both"/>
        <w:rPr>
          <w:rFonts w:cs="Arial"/>
          <w:szCs w:val="24"/>
          <w:lang w:eastAsia="en-GB"/>
        </w:rPr>
      </w:pPr>
      <w:r>
        <w:rPr>
          <w:rFonts w:cs="Arial"/>
          <w:szCs w:val="24"/>
          <w:lang w:eastAsia="en-GB"/>
        </w:rPr>
        <w:t>4.3</w:t>
      </w:r>
      <w:r>
        <w:rPr>
          <w:rFonts w:cs="Arial"/>
          <w:szCs w:val="24"/>
          <w:lang w:eastAsia="en-GB"/>
        </w:rPr>
        <w:tab/>
      </w:r>
      <w:r w:rsidR="00DB1FE6" w:rsidRPr="00DB1FE6">
        <w:rPr>
          <w:rFonts w:cs="Arial"/>
          <w:szCs w:val="24"/>
          <w:lang w:eastAsia="en-GB"/>
        </w:rPr>
        <w:t xml:space="preserve">It is considered that to </w:t>
      </w:r>
      <w:r w:rsidR="00FD525D">
        <w:rPr>
          <w:rFonts w:cs="Arial"/>
          <w:szCs w:val="24"/>
          <w:lang w:eastAsia="en-GB"/>
        </w:rPr>
        <w:t xml:space="preserve">introduce </w:t>
      </w:r>
      <w:r w:rsidR="00430476">
        <w:rPr>
          <w:rFonts w:cs="Arial"/>
          <w:szCs w:val="24"/>
          <w:lang w:eastAsia="en-GB"/>
        </w:rPr>
        <w:t>specific design guidance through</w:t>
      </w:r>
      <w:r w:rsidR="00A91549">
        <w:rPr>
          <w:rFonts w:cs="Arial"/>
          <w:szCs w:val="24"/>
          <w:lang w:eastAsia="en-GB"/>
        </w:rPr>
        <w:t xml:space="preserve"> </w:t>
      </w:r>
      <w:r w:rsidR="00256AD4">
        <w:rPr>
          <w:rFonts w:cs="Arial"/>
          <w:szCs w:val="24"/>
          <w:lang w:eastAsia="en-GB"/>
        </w:rPr>
        <w:t xml:space="preserve">a </w:t>
      </w:r>
      <w:r w:rsidR="00A91549">
        <w:rPr>
          <w:rFonts w:cs="Arial"/>
          <w:szCs w:val="24"/>
          <w:lang w:eastAsia="en-GB"/>
        </w:rPr>
        <w:t>specific chapter</w:t>
      </w:r>
      <w:r w:rsidR="00256AD4">
        <w:rPr>
          <w:rFonts w:cs="Arial"/>
          <w:szCs w:val="24"/>
          <w:lang w:eastAsia="en-GB"/>
        </w:rPr>
        <w:t>,</w:t>
      </w:r>
      <w:r w:rsidR="00A91549">
        <w:rPr>
          <w:rFonts w:cs="Arial"/>
          <w:szCs w:val="24"/>
          <w:lang w:eastAsia="en-GB"/>
        </w:rPr>
        <w:t xml:space="preserve"> </w:t>
      </w:r>
      <w:r w:rsidR="00256AD4">
        <w:rPr>
          <w:rFonts w:cs="Arial"/>
          <w:szCs w:val="24"/>
          <w:lang w:eastAsia="en-GB"/>
        </w:rPr>
        <w:t>which</w:t>
      </w:r>
      <w:r w:rsidR="00A91549">
        <w:rPr>
          <w:rFonts w:cs="Arial"/>
          <w:szCs w:val="24"/>
          <w:lang w:eastAsia="en-GB"/>
        </w:rPr>
        <w:t xml:space="preserve"> would build upon the </w:t>
      </w:r>
      <w:r w:rsidR="00B07345">
        <w:rPr>
          <w:rFonts w:cs="Arial"/>
          <w:szCs w:val="24"/>
          <w:lang w:eastAsia="en-GB"/>
        </w:rPr>
        <w:t>bor</w:t>
      </w:r>
      <w:r w:rsidR="00BC3AD4">
        <w:rPr>
          <w:rFonts w:cs="Arial"/>
          <w:szCs w:val="24"/>
          <w:lang w:eastAsia="en-GB"/>
        </w:rPr>
        <w:t>o</w:t>
      </w:r>
      <w:r w:rsidR="00B07345">
        <w:rPr>
          <w:rFonts w:cs="Arial"/>
          <w:szCs w:val="24"/>
          <w:lang w:eastAsia="en-GB"/>
        </w:rPr>
        <w:t>ugh wide design prin</w:t>
      </w:r>
      <w:r w:rsidR="00BC3AD4">
        <w:rPr>
          <w:rFonts w:cs="Arial"/>
          <w:szCs w:val="24"/>
          <w:lang w:eastAsia="en-GB"/>
        </w:rPr>
        <w:t>ci</w:t>
      </w:r>
      <w:r w:rsidR="00B07345">
        <w:rPr>
          <w:rFonts w:cs="Arial"/>
          <w:szCs w:val="24"/>
          <w:lang w:eastAsia="en-GB"/>
        </w:rPr>
        <w:t xml:space="preserve">ples </w:t>
      </w:r>
      <w:r w:rsidR="00A91549">
        <w:rPr>
          <w:rFonts w:cs="Arial"/>
          <w:szCs w:val="24"/>
          <w:lang w:eastAsia="en-GB"/>
        </w:rPr>
        <w:t>within</w:t>
      </w:r>
      <w:r w:rsidR="00430476">
        <w:rPr>
          <w:rFonts w:cs="Arial"/>
          <w:szCs w:val="24"/>
          <w:lang w:eastAsia="en-GB"/>
        </w:rPr>
        <w:t xml:space="preserve"> </w:t>
      </w:r>
      <w:r w:rsidR="00B07345">
        <w:rPr>
          <w:rFonts w:cs="Arial"/>
          <w:szCs w:val="24"/>
          <w:lang w:eastAsia="en-GB"/>
        </w:rPr>
        <w:t xml:space="preserve">the Small Sites Design </w:t>
      </w:r>
      <w:r w:rsidR="00856972">
        <w:rPr>
          <w:rFonts w:cs="Arial"/>
          <w:szCs w:val="24"/>
          <w:lang w:eastAsia="en-GB"/>
        </w:rPr>
        <w:t>Code</w:t>
      </w:r>
      <w:r w:rsidR="00B07345">
        <w:rPr>
          <w:rFonts w:cs="Arial"/>
          <w:szCs w:val="24"/>
          <w:lang w:eastAsia="en-GB"/>
        </w:rPr>
        <w:t xml:space="preserve"> </w:t>
      </w:r>
      <w:r w:rsidR="00430476">
        <w:rPr>
          <w:rFonts w:cs="Arial"/>
          <w:szCs w:val="24"/>
          <w:lang w:eastAsia="en-GB"/>
        </w:rPr>
        <w:t xml:space="preserve">Supplementary </w:t>
      </w:r>
      <w:r w:rsidR="00CB6CF2">
        <w:rPr>
          <w:rFonts w:cs="Arial"/>
          <w:szCs w:val="24"/>
          <w:lang w:eastAsia="en-GB"/>
        </w:rPr>
        <w:t>Planning Document</w:t>
      </w:r>
      <w:r w:rsidR="00610F23">
        <w:rPr>
          <w:rFonts w:cs="Arial"/>
          <w:szCs w:val="24"/>
          <w:lang w:eastAsia="en-GB"/>
        </w:rPr>
        <w:t>,</w:t>
      </w:r>
      <w:r w:rsidR="00430476">
        <w:rPr>
          <w:rFonts w:cs="Arial"/>
          <w:szCs w:val="24"/>
          <w:lang w:eastAsia="en-GB"/>
        </w:rPr>
        <w:t xml:space="preserve"> would provide greater clarity across the </w:t>
      </w:r>
      <w:r w:rsidR="009B2781">
        <w:rPr>
          <w:rFonts w:cs="Arial"/>
          <w:szCs w:val="24"/>
          <w:lang w:eastAsia="en-GB"/>
        </w:rPr>
        <w:t xml:space="preserve">borough for any applications that would involve </w:t>
      </w:r>
      <w:r w:rsidR="00F374A3">
        <w:rPr>
          <w:rFonts w:cs="Arial"/>
          <w:szCs w:val="24"/>
          <w:lang w:eastAsia="en-GB"/>
        </w:rPr>
        <w:t xml:space="preserve">the conversion of </w:t>
      </w:r>
      <w:r w:rsidR="004D5487">
        <w:rPr>
          <w:rFonts w:cs="Arial"/>
          <w:szCs w:val="24"/>
          <w:lang w:eastAsia="en-GB"/>
        </w:rPr>
        <w:t xml:space="preserve">single dwellings </w:t>
      </w:r>
      <w:r w:rsidR="00F374A3">
        <w:rPr>
          <w:rFonts w:cs="Arial"/>
          <w:szCs w:val="24"/>
          <w:lang w:eastAsia="en-GB"/>
        </w:rPr>
        <w:t xml:space="preserve">into </w:t>
      </w:r>
      <w:r w:rsidR="004D5487">
        <w:rPr>
          <w:rFonts w:cs="Arial"/>
          <w:szCs w:val="24"/>
          <w:lang w:eastAsia="en-GB"/>
        </w:rPr>
        <w:t>flats</w:t>
      </w:r>
      <w:r w:rsidR="00F374A3">
        <w:rPr>
          <w:rFonts w:cs="Arial"/>
          <w:szCs w:val="24"/>
          <w:lang w:eastAsia="en-GB"/>
        </w:rPr>
        <w:t>.</w:t>
      </w:r>
      <w:r w:rsidR="00E561E1">
        <w:rPr>
          <w:rFonts w:cs="Arial"/>
          <w:szCs w:val="24"/>
          <w:lang w:eastAsia="en-GB"/>
        </w:rPr>
        <w:t xml:space="preserve"> The guidance provided</w:t>
      </w:r>
      <w:r w:rsidR="00F51336">
        <w:rPr>
          <w:rFonts w:cs="Arial"/>
          <w:szCs w:val="24"/>
          <w:lang w:eastAsia="en-GB"/>
        </w:rPr>
        <w:t xml:space="preserve"> will</w:t>
      </w:r>
      <w:r w:rsidR="001535AB">
        <w:rPr>
          <w:rFonts w:cs="Arial"/>
          <w:szCs w:val="24"/>
          <w:lang w:eastAsia="en-GB"/>
        </w:rPr>
        <w:t xml:space="preserve"> </w:t>
      </w:r>
      <w:r w:rsidR="00F51336">
        <w:rPr>
          <w:rFonts w:cs="Arial"/>
          <w:szCs w:val="24"/>
          <w:lang w:eastAsia="en-GB"/>
        </w:rPr>
        <w:t xml:space="preserve">also be applicable </w:t>
      </w:r>
      <w:r w:rsidR="001535AB">
        <w:rPr>
          <w:rFonts w:cs="Arial"/>
          <w:szCs w:val="24"/>
          <w:lang w:eastAsia="en-GB"/>
        </w:rPr>
        <w:t xml:space="preserve">for applications that </w:t>
      </w:r>
      <w:r w:rsidR="003B5424">
        <w:rPr>
          <w:rFonts w:cs="Arial"/>
          <w:szCs w:val="24"/>
          <w:lang w:eastAsia="en-GB"/>
        </w:rPr>
        <w:t>seek to</w:t>
      </w:r>
      <w:r w:rsidR="00086D2A">
        <w:rPr>
          <w:rFonts w:cs="Arial"/>
          <w:szCs w:val="24"/>
          <w:lang w:eastAsia="en-GB"/>
        </w:rPr>
        <w:t xml:space="preserve"> convert a</w:t>
      </w:r>
      <w:r w:rsidR="00A702A3">
        <w:rPr>
          <w:rFonts w:cs="Arial"/>
          <w:szCs w:val="24"/>
          <w:lang w:eastAsia="en-GB"/>
        </w:rPr>
        <w:t xml:space="preserve">n existing </w:t>
      </w:r>
      <w:r w:rsidR="00086D2A">
        <w:rPr>
          <w:rFonts w:cs="Arial"/>
          <w:szCs w:val="24"/>
          <w:lang w:eastAsia="en-GB"/>
        </w:rPr>
        <w:t>flat into multiple flats.</w:t>
      </w:r>
      <w:r w:rsidR="0062558E">
        <w:rPr>
          <w:rFonts w:cs="Arial"/>
          <w:szCs w:val="24"/>
          <w:lang w:eastAsia="en-GB"/>
        </w:rPr>
        <w:t xml:space="preserve"> The guidance would apply regardless of whether any extensions are also proposed as part of the conversion.</w:t>
      </w:r>
    </w:p>
    <w:p w14:paraId="4328DF8F" w14:textId="77777777" w:rsidR="009E5550" w:rsidRDefault="009E5550" w:rsidP="00114AF0">
      <w:pPr>
        <w:ind w:left="720" w:hanging="720"/>
        <w:jc w:val="both"/>
        <w:rPr>
          <w:rFonts w:cs="Arial"/>
          <w:szCs w:val="24"/>
          <w:lang w:eastAsia="en-GB"/>
        </w:rPr>
      </w:pPr>
    </w:p>
    <w:p w14:paraId="50A2F67D" w14:textId="4C1F1589" w:rsidR="00BE5F2A" w:rsidRDefault="009E5550" w:rsidP="00114AF0">
      <w:pPr>
        <w:ind w:left="720" w:hanging="720"/>
        <w:jc w:val="both"/>
        <w:rPr>
          <w:rFonts w:cs="Arial"/>
          <w:szCs w:val="24"/>
          <w:lang w:eastAsia="en-GB"/>
        </w:rPr>
      </w:pPr>
      <w:r>
        <w:rPr>
          <w:rFonts w:cs="Arial"/>
          <w:szCs w:val="24"/>
          <w:lang w:eastAsia="en-GB"/>
        </w:rPr>
        <w:t>4.4</w:t>
      </w:r>
      <w:r>
        <w:rPr>
          <w:rFonts w:cs="Arial"/>
          <w:szCs w:val="24"/>
          <w:lang w:eastAsia="en-GB"/>
        </w:rPr>
        <w:tab/>
      </w:r>
      <w:r w:rsidR="00852983">
        <w:rPr>
          <w:rFonts w:cs="Arial"/>
          <w:szCs w:val="24"/>
          <w:lang w:eastAsia="en-GB"/>
        </w:rPr>
        <w:t>Additional</w:t>
      </w:r>
      <w:r w:rsidR="00852983" w:rsidRPr="00153FA0">
        <w:rPr>
          <w:rFonts w:cs="Arial"/>
          <w:szCs w:val="24"/>
          <w:lang w:eastAsia="en-GB"/>
        </w:rPr>
        <w:t xml:space="preserve"> </w:t>
      </w:r>
      <w:r w:rsidR="00054DBF" w:rsidRPr="00153FA0">
        <w:rPr>
          <w:rFonts w:cs="Arial"/>
          <w:szCs w:val="24"/>
          <w:lang w:eastAsia="en-GB"/>
        </w:rPr>
        <w:t xml:space="preserve">guidance is also </w:t>
      </w:r>
      <w:r w:rsidR="001E61E6" w:rsidRPr="00153FA0">
        <w:rPr>
          <w:rFonts w:cs="Arial"/>
          <w:szCs w:val="24"/>
          <w:lang w:eastAsia="en-GB"/>
        </w:rPr>
        <w:t>required</w:t>
      </w:r>
      <w:r w:rsidR="00054DBF" w:rsidRPr="00153FA0">
        <w:rPr>
          <w:rFonts w:cs="Arial"/>
          <w:szCs w:val="24"/>
          <w:lang w:eastAsia="en-GB"/>
        </w:rPr>
        <w:t xml:space="preserve"> to </w:t>
      </w:r>
      <w:r w:rsidR="00FD11F4">
        <w:rPr>
          <w:rFonts w:cs="Arial"/>
          <w:szCs w:val="24"/>
          <w:lang w:eastAsia="en-GB"/>
        </w:rPr>
        <w:t xml:space="preserve">supplement </w:t>
      </w:r>
      <w:r w:rsidR="001E61E6" w:rsidRPr="00153FA0">
        <w:rPr>
          <w:rFonts w:cs="Arial"/>
          <w:szCs w:val="24"/>
          <w:lang w:eastAsia="en-GB"/>
        </w:rPr>
        <w:t>the residential</w:t>
      </w:r>
      <w:r w:rsidR="00054DBF" w:rsidRPr="00153FA0">
        <w:rPr>
          <w:rFonts w:cs="Arial"/>
          <w:szCs w:val="24"/>
          <w:lang w:eastAsia="en-GB"/>
        </w:rPr>
        <w:t xml:space="preserve"> design gu</w:t>
      </w:r>
      <w:r w:rsidR="00DB45E3" w:rsidRPr="00153FA0">
        <w:rPr>
          <w:rFonts w:cs="Arial"/>
          <w:szCs w:val="24"/>
          <w:lang w:eastAsia="en-GB"/>
        </w:rPr>
        <w:t xml:space="preserve">idance </w:t>
      </w:r>
      <w:r w:rsidR="001E61E6" w:rsidRPr="00153FA0">
        <w:rPr>
          <w:rFonts w:cs="Arial"/>
          <w:szCs w:val="24"/>
          <w:lang w:eastAsia="en-GB"/>
        </w:rPr>
        <w:t xml:space="preserve">drafted as part of the Small Site </w:t>
      </w:r>
      <w:r w:rsidR="00445F90" w:rsidRPr="00153FA0">
        <w:rPr>
          <w:rFonts w:cs="Arial"/>
          <w:szCs w:val="24"/>
          <w:lang w:eastAsia="en-GB"/>
        </w:rPr>
        <w:t>Design</w:t>
      </w:r>
      <w:r w:rsidR="001E61E6" w:rsidRPr="00153FA0">
        <w:rPr>
          <w:rFonts w:cs="Arial"/>
          <w:szCs w:val="24"/>
          <w:lang w:eastAsia="en-GB"/>
        </w:rPr>
        <w:t xml:space="preserve"> Code SPD, to </w:t>
      </w:r>
      <w:r w:rsidR="00674299" w:rsidRPr="00153FA0">
        <w:rPr>
          <w:rFonts w:cs="Arial"/>
          <w:szCs w:val="24"/>
          <w:lang w:eastAsia="en-GB"/>
        </w:rPr>
        <w:t xml:space="preserve">provide more detailed imagery to assist </w:t>
      </w:r>
      <w:r w:rsidR="00544323" w:rsidRPr="00153FA0">
        <w:rPr>
          <w:rFonts w:cs="Arial"/>
          <w:szCs w:val="24"/>
          <w:lang w:eastAsia="en-GB"/>
        </w:rPr>
        <w:t>house</w:t>
      </w:r>
      <w:r w:rsidR="00F94F7D" w:rsidRPr="00153FA0">
        <w:rPr>
          <w:rFonts w:cs="Arial"/>
          <w:szCs w:val="24"/>
          <w:lang w:eastAsia="en-GB"/>
        </w:rPr>
        <w:t>holder extension applications being m</w:t>
      </w:r>
      <w:r w:rsidR="004046A2">
        <w:rPr>
          <w:rFonts w:cs="Arial"/>
          <w:szCs w:val="24"/>
          <w:lang w:eastAsia="en-GB"/>
        </w:rPr>
        <w:t>ade</w:t>
      </w:r>
      <w:r w:rsidR="00F94F7D" w:rsidRPr="00153FA0">
        <w:rPr>
          <w:rFonts w:cs="Arial"/>
          <w:szCs w:val="24"/>
          <w:lang w:eastAsia="en-GB"/>
        </w:rPr>
        <w:t xml:space="preserve"> successful</w:t>
      </w:r>
      <w:r w:rsidR="004046A2">
        <w:rPr>
          <w:rFonts w:cs="Arial"/>
          <w:szCs w:val="24"/>
          <w:lang w:eastAsia="en-GB"/>
        </w:rPr>
        <w:t>ly</w:t>
      </w:r>
      <w:r w:rsidR="001E69AB">
        <w:rPr>
          <w:rFonts w:cs="Arial"/>
          <w:szCs w:val="24"/>
          <w:lang w:eastAsia="en-GB"/>
        </w:rPr>
        <w:t xml:space="preserve">. </w:t>
      </w:r>
      <w:r w:rsidR="004D3A8E">
        <w:rPr>
          <w:rFonts w:cs="Arial"/>
          <w:szCs w:val="24"/>
          <w:lang w:eastAsia="en-GB"/>
        </w:rPr>
        <w:t>The need for a</w:t>
      </w:r>
      <w:r w:rsidR="001E69AB">
        <w:rPr>
          <w:rFonts w:cs="Arial"/>
          <w:szCs w:val="24"/>
          <w:lang w:eastAsia="en-GB"/>
        </w:rPr>
        <w:t xml:space="preserve">dditional detail to the initially drafted residential design guidance was </w:t>
      </w:r>
      <w:r w:rsidR="007629AC">
        <w:rPr>
          <w:rFonts w:cs="Arial"/>
          <w:szCs w:val="24"/>
          <w:lang w:eastAsia="en-GB"/>
        </w:rPr>
        <w:t xml:space="preserve">received </w:t>
      </w:r>
      <w:r w:rsidR="004D3A8E">
        <w:rPr>
          <w:rFonts w:cs="Arial"/>
          <w:szCs w:val="24"/>
          <w:lang w:eastAsia="en-GB"/>
        </w:rPr>
        <w:t xml:space="preserve">as part of the consultation </w:t>
      </w:r>
      <w:r w:rsidR="00153FA0">
        <w:rPr>
          <w:rFonts w:cs="Arial"/>
          <w:szCs w:val="24"/>
          <w:lang w:eastAsia="en-GB"/>
        </w:rPr>
        <w:t>process</w:t>
      </w:r>
      <w:r w:rsidR="00FD11F4">
        <w:rPr>
          <w:rFonts w:cs="Arial"/>
          <w:szCs w:val="24"/>
          <w:lang w:eastAsia="en-GB"/>
        </w:rPr>
        <w:t xml:space="preserve"> in early 2022</w:t>
      </w:r>
      <w:r w:rsidR="00153FA0">
        <w:rPr>
          <w:rFonts w:cs="Arial"/>
          <w:szCs w:val="24"/>
          <w:lang w:eastAsia="en-GB"/>
        </w:rPr>
        <w:t xml:space="preserve">. </w:t>
      </w:r>
    </w:p>
    <w:p w14:paraId="4E0DFDA1" w14:textId="77777777" w:rsidR="00BE5F2A" w:rsidRDefault="00BE5F2A" w:rsidP="00295A60">
      <w:pPr>
        <w:jc w:val="both"/>
        <w:rPr>
          <w:rFonts w:cs="Arial"/>
          <w:szCs w:val="24"/>
          <w:lang w:eastAsia="en-GB"/>
        </w:rPr>
      </w:pPr>
    </w:p>
    <w:p w14:paraId="1C3471AB" w14:textId="6762ED6E" w:rsidR="00C03553" w:rsidRDefault="00C03553" w:rsidP="00805F9B">
      <w:pPr>
        <w:keepNext/>
        <w:ind w:left="720" w:hanging="720"/>
        <w:jc w:val="both"/>
        <w:rPr>
          <w:rFonts w:cs="Arial"/>
          <w:szCs w:val="24"/>
          <w:lang w:eastAsia="en-GB"/>
        </w:rPr>
      </w:pPr>
      <w:r>
        <w:rPr>
          <w:rFonts w:cs="Arial"/>
          <w:szCs w:val="24"/>
          <w:lang w:eastAsia="en-GB"/>
        </w:rPr>
        <w:t>4.</w:t>
      </w:r>
      <w:r w:rsidR="005B15E7">
        <w:rPr>
          <w:rFonts w:cs="Arial"/>
          <w:szCs w:val="24"/>
          <w:lang w:eastAsia="en-GB"/>
        </w:rPr>
        <w:t>5</w:t>
      </w:r>
      <w:r>
        <w:rPr>
          <w:rFonts w:cs="Arial"/>
          <w:szCs w:val="24"/>
          <w:lang w:eastAsia="en-GB"/>
        </w:rPr>
        <w:tab/>
      </w:r>
      <w:r w:rsidR="00E80A1C">
        <w:rPr>
          <w:rFonts w:cs="Arial"/>
          <w:szCs w:val="24"/>
          <w:lang w:eastAsia="en-GB"/>
        </w:rPr>
        <w:t xml:space="preserve">In bringing forward a </w:t>
      </w:r>
      <w:r w:rsidR="005721E6">
        <w:rPr>
          <w:rFonts w:cs="Arial"/>
          <w:szCs w:val="24"/>
          <w:lang w:eastAsia="en-GB"/>
        </w:rPr>
        <w:t xml:space="preserve">residential </w:t>
      </w:r>
      <w:r w:rsidR="00D26380">
        <w:rPr>
          <w:rFonts w:cs="Arial"/>
          <w:szCs w:val="24"/>
          <w:lang w:eastAsia="en-GB"/>
        </w:rPr>
        <w:t xml:space="preserve">conversion </w:t>
      </w:r>
      <w:r w:rsidR="00A24231">
        <w:rPr>
          <w:rFonts w:cs="Arial"/>
          <w:szCs w:val="24"/>
          <w:lang w:eastAsia="en-GB"/>
        </w:rPr>
        <w:t xml:space="preserve">design guidance </w:t>
      </w:r>
      <w:r w:rsidR="00D26380">
        <w:rPr>
          <w:rFonts w:cs="Arial"/>
          <w:szCs w:val="24"/>
          <w:lang w:eastAsia="en-GB"/>
        </w:rPr>
        <w:t>chapter</w:t>
      </w:r>
      <w:r w:rsidR="00774DAD">
        <w:rPr>
          <w:rFonts w:cs="Arial"/>
          <w:szCs w:val="24"/>
          <w:lang w:eastAsia="en-GB"/>
        </w:rPr>
        <w:t>, the following set</w:t>
      </w:r>
      <w:r w:rsidR="00AF7FA9">
        <w:rPr>
          <w:rFonts w:cs="Arial"/>
          <w:szCs w:val="24"/>
          <w:lang w:eastAsia="en-GB"/>
        </w:rPr>
        <w:t>s</w:t>
      </w:r>
      <w:r w:rsidR="00774DAD">
        <w:rPr>
          <w:rFonts w:cs="Arial"/>
          <w:szCs w:val="24"/>
          <w:lang w:eastAsia="en-GB"/>
        </w:rPr>
        <w:t xml:space="preserve"> out the </w:t>
      </w:r>
      <w:r w:rsidR="00D50409">
        <w:rPr>
          <w:rFonts w:cs="Arial"/>
          <w:szCs w:val="24"/>
          <w:lang w:eastAsia="en-GB"/>
        </w:rPr>
        <w:t>key timetable</w:t>
      </w:r>
      <w:r w:rsidR="00774DAD">
        <w:rPr>
          <w:rFonts w:cs="Arial"/>
          <w:szCs w:val="24"/>
          <w:lang w:eastAsia="en-GB"/>
        </w:rPr>
        <w:t xml:space="preserve"> </w:t>
      </w:r>
      <w:r w:rsidR="0098184C">
        <w:rPr>
          <w:rFonts w:cs="Arial"/>
          <w:szCs w:val="24"/>
          <w:lang w:eastAsia="en-GB"/>
        </w:rPr>
        <w:t xml:space="preserve">actions </w:t>
      </w:r>
      <w:r w:rsidR="00774DAD">
        <w:rPr>
          <w:rFonts w:cs="Arial"/>
          <w:szCs w:val="24"/>
          <w:lang w:eastAsia="en-GB"/>
        </w:rPr>
        <w:t>required to be undertaken</w:t>
      </w:r>
      <w:r w:rsidR="0098184C">
        <w:rPr>
          <w:rFonts w:cs="Arial"/>
          <w:szCs w:val="24"/>
          <w:lang w:eastAsia="en-GB"/>
        </w:rPr>
        <w:t xml:space="preserve"> (</w:t>
      </w:r>
      <w:r w:rsidR="009E0DB4">
        <w:rPr>
          <w:rFonts w:cs="Arial"/>
          <w:szCs w:val="24"/>
          <w:lang w:eastAsia="en-GB"/>
        </w:rPr>
        <w:t>Dates may be subject to change</w:t>
      </w:r>
      <w:proofErr w:type="gramStart"/>
      <w:r w:rsidR="009E0DB4">
        <w:rPr>
          <w:rFonts w:cs="Arial"/>
          <w:szCs w:val="24"/>
          <w:lang w:eastAsia="en-GB"/>
        </w:rPr>
        <w:t>)</w:t>
      </w:r>
      <w:r w:rsidR="00774DAD">
        <w:rPr>
          <w:rFonts w:cs="Arial"/>
          <w:szCs w:val="24"/>
          <w:lang w:eastAsia="en-GB"/>
        </w:rPr>
        <w:t>;</w:t>
      </w:r>
      <w:proofErr w:type="gramEnd"/>
    </w:p>
    <w:p w14:paraId="2CEE189A" w14:textId="4532869D" w:rsidR="00774DAD" w:rsidRDefault="00774DAD" w:rsidP="00805F9B">
      <w:pPr>
        <w:keepNext/>
        <w:ind w:left="720" w:hanging="720"/>
        <w:jc w:val="both"/>
        <w:rPr>
          <w:rFonts w:cs="Arial"/>
          <w:szCs w:val="24"/>
          <w:lang w:eastAsia="en-GB"/>
        </w:rPr>
      </w:pPr>
    </w:p>
    <w:p w14:paraId="3E63177E" w14:textId="729FCECB" w:rsidR="00774DAD" w:rsidRPr="00207DA4" w:rsidRDefault="00A57929" w:rsidP="00805F9B">
      <w:pPr>
        <w:pStyle w:val="ListParagraph"/>
        <w:numPr>
          <w:ilvl w:val="0"/>
          <w:numId w:val="25"/>
        </w:numPr>
        <w:ind w:left="1418" w:hanging="567"/>
        <w:jc w:val="both"/>
        <w:rPr>
          <w:sz w:val="24"/>
          <w:szCs w:val="24"/>
        </w:rPr>
      </w:pPr>
      <w:r w:rsidRPr="00207DA4">
        <w:rPr>
          <w:sz w:val="24"/>
          <w:szCs w:val="24"/>
        </w:rPr>
        <w:t>Report for Planning Policy Ad</w:t>
      </w:r>
      <w:r w:rsidR="005826ED" w:rsidRPr="00207DA4">
        <w:rPr>
          <w:sz w:val="24"/>
          <w:szCs w:val="24"/>
        </w:rPr>
        <w:t>v</w:t>
      </w:r>
      <w:r w:rsidRPr="00207DA4">
        <w:rPr>
          <w:sz w:val="24"/>
          <w:szCs w:val="24"/>
        </w:rPr>
        <w:t>isory Panel</w:t>
      </w:r>
      <w:r w:rsidR="00975364" w:rsidRPr="00207DA4">
        <w:rPr>
          <w:sz w:val="24"/>
          <w:szCs w:val="24"/>
        </w:rPr>
        <w:t xml:space="preserve"> (this report)</w:t>
      </w:r>
      <w:r w:rsidRPr="00207DA4">
        <w:rPr>
          <w:sz w:val="24"/>
          <w:szCs w:val="24"/>
        </w:rPr>
        <w:t xml:space="preserve"> </w:t>
      </w:r>
      <w:r w:rsidR="00096D59" w:rsidRPr="00207DA4">
        <w:rPr>
          <w:sz w:val="24"/>
          <w:szCs w:val="24"/>
        </w:rPr>
        <w:t>9</w:t>
      </w:r>
      <w:r w:rsidR="00096D59" w:rsidRPr="00207DA4">
        <w:rPr>
          <w:sz w:val="24"/>
          <w:szCs w:val="24"/>
          <w:vertAlign w:val="superscript"/>
        </w:rPr>
        <w:t>th</w:t>
      </w:r>
      <w:r w:rsidR="00096D59" w:rsidRPr="00207DA4">
        <w:rPr>
          <w:sz w:val="24"/>
          <w:szCs w:val="24"/>
        </w:rPr>
        <w:t xml:space="preserve"> January 2023</w:t>
      </w:r>
    </w:p>
    <w:p w14:paraId="2B6B7F0F" w14:textId="5D29C5B0" w:rsidR="005968D6" w:rsidRPr="000A483F" w:rsidRDefault="005B5DAC" w:rsidP="00805F9B">
      <w:pPr>
        <w:pStyle w:val="ListParagraph"/>
        <w:numPr>
          <w:ilvl w:val="0"/>
          <w:numId w:val="25"/>
        </w:numPr>
        <w:ind w:left="1418" w:hanging="567"/>
        <w:jc w:val="both"/>
        <w:rPr>
          <w:sz w:val="24"/>
          <w:szCs w:val="24"/>
        </w:rPr>
      </w:pPr>
      <w:r w:rsidRPr="000A483F">
        <w:rPr>
          <w:sz w:val="24"/>
          <w:szCs w:val="24"/>
        </w:rPr>
        <w:t>Draft Chapters</w:t>
      </w:r>
      <w:r w:rsidR="003009E7" w:rsidRPr="000A483F">
        <w:rPr>
          <w:sz w:val="24"/>
          <w:szCs w:val="24"/>
        </w:rPr>
        <w:t xml:space="preserve"> for </w:t>
      </w:r>
      <w:r w:rsidR="005721E6">
        <w:rPr>
          <w:sz w:val="24"/>
          <w:szCs w:val="24"/>
        </w:rPr>
        <w:t>Residential</w:t>
      </w:r>
      <w:r w:rsidR="005721E6" w:rsidRPr="000A483F">
        <w:rPr>
          <w:sz w:val="24"/>
          <w:szCs w:val="24"/>
        </w:rPr>
        <w:t xml:space="preserve"> </w:t>
      </w:r>
      <w:r w:rsidR="00CB009B" w:rsidRPr="000A483F">
        <w:rPr>
          <w:sz w:val="24"/>
          <w:szCs w:val="24"/>
        </w:rPr>
        <w:t>C</w:t>
      </w:r>
      <w:r w:rsidR="005C27AC" w:rsidRPr="000A483F">
        <w:rPr>
          <w:sz w:val="24"/>
          <w:szCs w:val="24"/>
        </w:rPr>
        <w:t xml:space="preserve">onversions and </w:t>
      </w:r>
      <w:r w:rsidR="00CB009B" w:rsidRPr="000A483F">
        <w:rPr>
          <w:sz w:val="24"/>
          <w:szCs w:val="24"/>
        </w:rPr>
        <w:t>Residential</w:t>
      </w:r>
      <w:r w:rsidR="00372443" w:rsidRPr="000A483F">
        <w:rPr>
          <w:sz w:val="24"/>
          <w:szCs w:val="24"/>
        </w:rPr>
        <w:t xml:space="preserve"> De</w:t>
      </w:r>
      <w:r w:rsidR="00CB009B" w:rsidRPr="000A483F">
        <w:rPr>
          <w:sz w:val="24"/>
          <w:szCs w:val="24"/>
        </w:rPr>
        <w:t>sig</w:t>
      </w:r>
      <w:r w:rsidR="00372443" w:rsidRPr="000A483F">
        <w:rPr>
          <w:sz w:val="24"/>
          <w:szCs w:val="24"/>
        </w:rPr>
        <w:t xml:space="preserve">n Guidance within the draft </w:t>
      </w:r>
      <w:r w:rsidR="003009E7" w:rsidRPr="000A483F">
        <w:rPr>
          <w:sz w:val="24"/>
          <w:szCs w:val="24"/>
        </w:rPr>
        <w:t xml:space="preserve">Small Sites Design Code SPD to </w:t>
      </w:r>
      <w:r w:rsidR="00322730">
        <w:rPr>
          <w:sz w:val="24"/>
          <w:szCs w:val="24"/>
        </w:rPr>
        <w:t xml:space="preserve">a future </w:t>
      </w:r>
      <w:r w:rsidR="003009E7" w:rsidRPr="000A483F">
        <w:rPr>
          <w:sz w:val="24"/>
          <w:szCs w:val="24"/>
        </w:rPr>
        <w:t xml:space="preserve">Planning Policy Advisory Panel </w:t>
      </w:r>
      <w:r w:rsidR="002F5D8E" w:rsidRPr="000A483F">
        <w:rPr>
          <w:sz w:val="24"/>
          <w:szCs w:val="24"/>
        </w:rPr>
        <w:t>in 2023</w:t>
      </w:r>
      <w:r w:rsidR="00D335DE">
        <w:rPr>
          <w:sz w:val="24"/>
          <w:szCs w:val="24"/>
        </w:rPr>
        <w:t xml:space="preserve"> (meeting date to be confirmed)</w:t>
      </w:r>
      <w:r w:rsidR="002F5D8E" w:rsidRPr="000A483F">
        <w:rPr>
          <w:sz w:val="24"/>
          <w:szCs w:val="24"/>
        </w:rPr>
        <w:t>.</w:t>
      </w:r>
    </w:p>
    <w:p w14:paraId="13DD36B6" w14:textId="2691DB6A" w:rsidR="00412D87" w:rsidRPr="00A24ED5" w:rsidRDefault="00412D87" w:rsidP="00805F9B">
      <w:pPr>
        <w:pStyle w:val="ListParagraph"/>
        <w:numPr>
          <w:ilvl w:val="0"/>
          <w:numId w:val="25"/>
        </w:numPr>
        <w:ind w:left="1418" w:hanging="567"/>
        <w:jc w:val="both"/>
        <w:rPr>
          <w:sz w:val="24"/>
          <w:szCs w:val="24"/>
        </w:rPr>
      </w:pPr>
      <w:r w:rsidRPr="00A24ED5">
        <w:rPr>
          <w:sz w:val="24"/>
          <w:szCs w:val="24"/>
        </w:rPr>
        <w:t xml:space="preserve">Cabinet </w:t>
      </w:r>
      <w:r w:rsidR="00FA0250" w:rsidRPr="00A24ED5">
        <w:rPr>
          <w:sz w:val="24"/>
          <w:szCs w:val="24"/>
        </w:rPr>
        <w:t xml:space="preserve">Approval to </w:t>
      </w:r>
      <w:r w:rsidR="006867A3" w:rsidRPr="00A24ED5">
        <w:rPr>
          <w:sz w:val="24"/>
          <w:szCs w:val="24"/>
        </w:rPr>
        <w:t>a</w:t>
      </w:r>
      <w:r w:rsidR="00FA0250" w:rsidRPr="00A24ED5">
        <w:rPr>
          <w:sz w:val="24"/>
          <w:szCs w:val="24"/>
        </w:rPr>
        <w:t>dopt</w:t>
      </w:r>
      <w:r w:rsidR="0098184C" w:rsidRPr="00A24ED5">
        <w:rPr>
          <w:sz w:val="24"/>
          <w:szCs w:val="24"/>
        </w:rPr>
        <w:t xml:space="preserve"> the </w:t>
      </w:r>
      <w:r w:rsidR="00A24231" w:rsidRPr="00A24ED5">
        <w:rPr>
          <w:sz w:val="24"/>
          <w:szCs w:val="24"/>
        </w:rPr>
        <w:t>Small Sites Design Code</w:t>
      </w:r>
      <w:r w:rsidR="00856972" w:rsidRPr="00A24ED5">
        <w:rPr>
          <w:sz w:val="24"/>
          <w:szCs w:val="24"/>
        </w:rPr>
        <w:t xml:space="preserve"> </w:t>
      </w:r>
      <w:r w:rsidR="0098184C" w:rsidRPr="00A24ED5">
        <w:rPr>
          <w:sz w:val="24"/>
          <w:szCs w:val="24"/>
        </w:rPr>
        <w:t>SPD</w:t>
      </w:r>
      <w:r w:rsidR="00AF7FA9" w:rsidRPr="00A24ED5">
        <w:rPr>
          <w:sz w:val="24"/>
          <w:szCs w:val="24"/>
        </w:rPr>
        <w:t>: 2023</w:t>
      </w:r>
      <w:r w:rsidR="00322730">
        <w:rPr>
          <w:sz w:val="24"/>
          <w:szCs w:val="24"/>
        </w:rPr>
        <w:t xml:space="preserve"> – following </w:t>
      </w:r>
      <w:r w:rsidR="00870CD5">
        <w:rPr>
          <w:sz w:val="24"/>
          <w:szCs w:val="24"/>
        </w:rPr>
        <w:t>PPAP under bullet point 2 above</w:t>
      </w:r>
      <w:r w:rsidR="006867A3" w:rsidRPr="00A24ED5">
        <w:rPr>
          <w:sz w:val="24"/>
          <w:szCs w:val="24"/>
        </w:rPr>
        <w:t xml:space="preserve"> (inclusive of </w:t>
      </w:r>
      <w:r w:rsidR="005721E6">
        <w:rPr>
          <w:sz w:val="24"/>
          <w:szCs w:val="24"/>
        </w:rPr>
        <w:t>residential</w:t>
      </w:r>
      <w:r w:rsidR="005721E6" w:rsidRPr="00A24ED5">
        <w:rPr>
          <w:sz w:val="24"/>
          <w:szCs w:val="24"/>
        </w:rPr>
        <w:t xml:space="preserve"> </w:t>
      </w:r>
      <w:r w:rsidR="006867A3" w:rsidRPr="00A24ED5">
        <w:rPr>
          <w:sz w:val="24"/>
          <w:szCs w:val="24"/>
        </w:rPr>
        <w:t>conversion design guidance</w:t>
      </w:r>
      <w:r w:rsidR="00112083" w:rsidRPr="00A24ED5">
        <w:rPr>
          <w:sz w:val="24"/>
          <w:szCs w:val="24"/>
        </w:rPr>
        <w:t xml:space="preserve"> / more detailed residential extension guidance</w:t>
      </w:r>
      <w:r w:rsidR="006867A3" w:rsidRPr="00A24ED5">
        <w:rPr>
          <w:sz w:val="24"/>
          <w:szCs w:val="24"/>
        </w:rPr>
        <w:t xml:space="preserve">). </w:t>
      </w:r>
    </w:p>
    <w:p w14:paraId="132FEFF2" w14:textId="20F58072" w:rsidR="00FA0250" w:rsidRDefault="00FA0250" w:rsidP="00FA0250">
      <w:pPr>
        <w:jc w:val="both"/>
        <w:rPr>
          <w:szCs w:val="24"/>
        </w:rPr>
      </w:pPr>
    </w:p>
    <w:p w14:paraId="054D5974" w14:textId="449B2941" w:rsidR="00FA0250" w:rsidRPr="00FA0250" w:rsidRDefault="00FA0250" w:rsidP="006E7223">
      <w:pPr>
        <w:ind w:left="720" w:hanging="720"/>
        <w:jc w:val="both"/>
        <w:rPr>
          <w:szCs w:val="24"/>
        </w:rPr>
      </w:pPr>
      <w:r>
        <w:rPr>
          <w:szCs w:val="24"/>
        </w:rPr>
        <w:t>4.</w:t>
      </w:r>
      <w:r w:rsidR="005B15E7">
        <w:rPr>
          <w:szCs w:val="24"/>
        </w:rPr>
        <w:t>6</w:t>
      </w:r>
      <w:r>
        <w:rPr>
          <w:szCs w:val="24"/>
        </w:rPr>
        <w:tab/>
      </w:r>
      <w:r w:rsidR="00E2094E">
        <w:rPr>
          <w:szCs w:val="24"/>
        </w:rPr>
        <w:t xml:space="preserve">In the preparation of the </w:t>
      </w:r>
      <w:r w:rsidR="005721E6">
        <w:rPr>
          <w:szCs w:val="24"/>
        </w:rPr>
        <w:t xml:space="preserve">residential </w:t>
      </w:r>
      <w:r w:rsidR="0093612C">
        <w:rPr>
          <w:szCs w:val="24"/>
        </w:rPr>
        <w:t>conversion design guidance</w:t>
      </w:r>
      <w:r w:rsidR="00CA75DE">
        <w:rPr>
          <w:szCs w:val="24"/>
        </w:rPr>
        <w:t xml:space="preserve"> </w:t>
      </w:r>
      <w:r w:rsidR="00CA75DE" w:rsidRPr="005C1860">
        <w:rPr>
          <w:szCs w:val="24"/>
        </w:rPr>
        <w:t xml:space="preserve">and </w:t>
      </w:r>
      <w:r w:rsidR="00E76E7F" w:rsidRPr="005C1860">
        <w:rPr>
          <w:szCs w:val="24"/>
        </w:rPr>
        <w:t>residential extension guidance</w:t>
      </w:r>
      <w:r w:rsidR="00E2094E">
        <w:rPr>
          <w:szCs w:val="24"/>
        </w:rPr>
        <w:t xml:space="preserve">, </w:t>
      </w:r>
      <w:r w:rsidR="007F112D">
        <w:rPr>
          <w:szCs w:val="24"/>
        </w:rPr>
        <w:t xml:space="preserve">officers will also </w:t>
      </w:r>
      <w:r w:rsidR="006F04AF">
        <w:rPr>
          <w:szCs w:val="24"/>
        </w:rPr>
        <w:t>engage</w:t>
      </w:r>
      <w:r w:rsidR="007F112D">
        <w:rPr>
          <w:szCs w:val="24"/>
        </w:rPr>
        <w:t xml:space="preserve"> internally with relevant departments (Development Management</w:t>
      </w:r>
      <w:r w:rsidR="00A71445">
        <w:rPr>
          <w:szCs w:val="24"/>
        </w:rPr>
        <w:t xml:space="preserve">, Highways Authority, </w:t>
      </w:r>
      <w:r w:rsidR="00A71445">
        <w:rPr>
          <w:szCs w:val="24"/>
        </w:rPr>
        <w:lastRenderedPageBreak/>
        <w:t>and the Waste Authority</w:t>
      </w:r>
      <w:r w:rsidR="007F112D">
        <w:rPr>
          <w:szCs w:val="24"/>
        </w:rPr>
        <w:t xml:space="preserve"> for example</w:t>
      </w:r>
      <w:r w:rsidR="006E7223">
        <w:rPr>
          <w:szCs w:val="24"/>
        </w:rPr>
        <w:t xml:space="preserve">). </w:t>
      </w:r>
      <w:r w:rsidR="006F04AF">
        <w:rPr>
          <w:szCs w:val="24"/>
        </w:rPr>
        <w:t xml:space="preserve">This will assist in ensuring a more robust and defensible </w:t>
      </w:r>
      <w:r w:rsidR="00F52338">
        <w:rPr>
          <w:szCs w:val="24"/>
        </w:rPr>
        <w:t xml:space="preserve">SPD is achieved. </w:t>
      </w:r>
    </w:p>
    <w:p w14:paraId="183F7263" w14:textId="55140E44" w:rsidR="00C03553" w:rsidRDefault="00C03553" w:rsidP="00B809D0">
      <w:pPr>
        <w:ind w:left="720" w:hanging="720"/>
        <w:jc w:val="both"/>
        <w:rPr>
          <w:rFonts w:cs="Arial"/>
          <w:szCs w:val="24"/>
          <w:lang w:eastAsia="en-GB"/>
        </w:rPr>
      </w:pPr>
    </w:p>
    <w:p w14:paraId="7FDB4DCE" w14:textId="0F8A81DA" w:rsidR="00F7307D" w:rsidRPr="00CA784C" w:rsidRDefault="00114AF0" w:rsidP="00637E9B">
      <w:pPr>
        <w:keepNext/>
        <w:ind w:left="720" w:hanging="720"/>
        <w:rPr>
          <w:rFonts w:cs="Arial"/>
          <w:b/>
          <w:bCs/>
          <w:sz w:val="28"/>
          <w:szCs w:val="28"/>
        </w:rPr>
      </w:pPr>
      <w:r w:rsidRPr="00CA784C">
        <w:rPr>
          <w:rFonts w:cs="Arial"/>
          <w:b/>
          <w:bCs/>
          <w:sz w:val="28"/>
          <w:szCs w:val="28"/>
        </w:rPr>
        <w:t>5.0</w:t>
      </w:r>
      <w:r w:rsidRPr="00CA784C">
        <w:rPr>
          <w:rFonts w:cs="Arial"/>
          <w:b/>
          <w:bCs/>
          <w:sz w:val="28"/>
          <w:szCs w:val="28"/>
        </w:rPr>
        <w:tab/>
      </w:r>
      <w:r w:rsidR="005721E6" w:rsidRPr="00CA784C">
        <w:rPr>
          <w:rFonts w:cs="Arial"/>
          <w:b/>
          <w:bCs/>
          <w:sz w:val="28"/>
          <w:szCs w:val="28"/>
        </w:rPr>
        <w:t xml:space="preserve">Residential </w:t>
      </w:r>
      <w:r w:rsidR="007E7FFB" w:rsidRPr="00CA784C">
        <w:rPr>
          <w:rFonts w:cs="Arial"/>
          <w:b/>
          <w:bCs/>
          <w:sz w:val="28"/>
          <w:szCs w:val="28"/>
        </w:rPr>
        <w:t xml:space="preserve">Conversion Design </w:t>
      </w:r>
      <w:r w:rsidR="000D208B" w:rsidRPr="00CA784C">
        <w:rPr>
          <w:rFonts w:cs="Arial"/>
          <w:b/>
          <w:bCs/>
          <w:sz w:val="28"/>
          <w:szCs w:val="28"/>
        </w:rPr>
        <w:t xml:space="preserve">Guidance Chapter: Small Sites </w:t>
      </w:r>
      <w:r w:rsidR="00481A7A" w:rsidRPr="00CA784C">
        <w:rPr>
          <w:rFonts w:cs="Arial"/>
          <w:b/>
          <w:bCs/>
          <w:sz w:val="28"/>
          <w:szCs w:val="28"/>
        </w:rPr>
        <w:t xml:space="preserve">Design </w:t>
      </w:r>
      <w:r w:rsidR="000D208B" w:rsidRPr="00CA784C">
        <w:rPr>
          <w:rFonts w:cs="Arial"/>
          <w:b/>
          <w:bCs/>
          <w:sz w:val="28"/>
          <w:szCs w:val="28"/>
        </w:rPr>
        <w:t xml:space="preserve">Code Supplementary Planning Document </w:t>
      </w:r>
    </w:p>
    <w:p w14:paraId="3B3D8816" w14:textId="429A9181" w:rsidR="00F7307D" w:rsidRPr="007034A9" w:rsidRDefault="00F7307D" w:rsidP="00637E9B">
      <w:pPr>
        <w:keepNext/>
        <w:rPr>
          <w:rFonts w:cs="Arial"/>
          <w:sz w:val="28"/>
          <w:szCs w:val="28"/>
        </w:rPr>
      </w:pPr>
    </w:p>
    <w:p w14:paraId="7CCBA182" w14:textId="77777777" w:rsidR="001543E4" w:rsidRPr="001A601C" w:rsidRDefault="00114AF0" w:rsidP="001543E4">
      <w:pPr>
        <w:jc w:val="both"/>
        <w:rPr>
          <w:rFonts w:cs="Arial"/>
          <w:b/>
          <w:bCs/>
          <w:u w:val="single"/>
        </w:rPr>
      </w:pPr>
      <w:r>
        <w:rPr>
          <w:rFonts w:cstheme="minorHAnsi"/>
          <w:shd w:val="clear" w:color="auto" w:fill="FFFFFF"/>
        </w:rPr>
        <w:t>5.1</w:t>
      </w:r>
      <w:r>
        <w:rPr>
          <w:rFonts w:cstheme="minorHAnsi"/>
          <w:shd w:val="clear" w:color="auto" w:fill="FFFFFF"/>
        </w:rPr>
        <w:tab/>
      </w:r>
      <w:r w:rsidR="001543E4" w:rsidRPr="001A601C">
        <w:rPr>
          <w:rFonts w:cs="Arial"/>
          <w:b/>
          <w:bCs/>
          <w:u w:val="single"/>
        </w:rPr>
        <w:t>Policy Context</w:t>
      </w:r>
    </w:p>
    <w:p w14:paraId="311D287E" w14:textId="77777777" w:rsidR="00962C5B" w:rsidRDefault="00962C5B" w:rsidP="001543E4">
      <w:pPr>
        <w:ind w:firstLine="720"/>
        <w:jc w:val="both"/>
        <w:rPr>
          <w:rFonts w:cs="Arial"/>
          <w:b/>
          <w:bCs/>
        </w:rPr>
      </w:pPr>
    </w:p>
    <w:p w14:paraId="2AFFFA4E" w14:textId="5FB1552A" w:rsidR="001543E4" w:rsidRDefault="001543E4" w:rsidP="001543E4">
      <w:pPr>
        <w:ind w:firstLine="720"/>
        <w:jc w:val="both"/>
        <w:rPr>
          <w:rFonts w:cs="Arial"/>
          <w:b/>
          <w:bCs/>
        </w:rPr>
      </w:pPr>
      <w:r>
        <w:rPr>
          <w:rFonts w:cs="Arial"/>
          <w:b/>
          <w:bCs/>
        </w:rPr>
        <w:t>National Policy Framework</w:t>
      </w:r>
    </w:p>
    <w:p w14:paraId="39324266" w14:textId="74413286" w:rsidR="001543E4" w:rsidRDefault="00962C5B" w:rsidP="001543E4">
      <w:pPr>
        <w:ind w:left="720" w:hanging="720"/>
        <w:jc w:val="both"/>
        <w:rPr>
          <w:rFonts w:cs="Arial"/>
        </w:rPr>
      </w:pPr>
      <w:r>
        <w:rPr>
          <w:rFonts w:cs="Arial"/>
        </w:rPr>
        <w:t>5</w:t>
      </w:r>
      <w:r w:rsidR="001543E4">
        <w:rPr>
          <w:rFonts w:cs="Arial"/>
        </w:rPr>
        <w:t>.</w:t>
      </w:r>
      <w:r w:rsidR="00FF6042">
        <w:rPr>
          <w:rFonts w:cs="Arial"/>
        </w:rPr>
        <w:t>2</w:t>
      </w:r>
      <w:r w:rsidR="001543E4">
        <w:rPr>
          <w:rFonts w:cs="Arial"/>
        </w:rPr>
        <w:tab/>
      </w:r>
      <w:r w:rsidR="001543E4" w:rsidRPr="00131120">
        <w:rPr>
          <w:rFonts w:cs="Arial"/>
        </w:rPr>
        <w:t xml:space="preserve">The NPPF 2021 has placed a greater emphasis on the design quality of all developments, recognising the importance that this has on how people view their surroundings. </w:t>
      </w:r>
    </w:p>
    <w:p w14:paraId="5BF18306" w14:textId="77777777" w:rsidR="00962C5B" w:rsidRDefault="00962C5B" w:rsidP="001543E4">
      <w:pPr>
        <w:ind w:left="720" w:hanging="720"/>
        <w:jc w:val="both"/>
        <w:rPr>
          <w:rFonts w:cs="Arial"/>
        </w:rPr>
      </w:pPr>
    </w:p>
    <w:p w14:paraId="582A2882" w14:textId="156ABFAE" w:rsidR="001543E4" w:rsidRDefault="00962C5B" w:rsidP="001543E4">
      <w:pPr>
        <w:ind w:left="720" w:hanging="720"/>
        <w:jc w:val="both"/>
        <w:rPr>
          <w:rFonts w:cs="Arial"/>
          <w:i/>
          <w:iCs/>
        </w:rPr>
      </w:pPr>
      <w:r>
        <w:rPr>
          <w:rFonts w:cs="Arial"/>
        </w:rPr>
        <w:t>5</w:t>
      </w:r>
      <w:r w:rsidR="001543E4">
        <w:rPr>
          <w:rFonts w:cs="Arial"/>
        </w:rPr>
        <w:t>.</w:t>
      </w:r>
      <w:r w:rsidR="00FF6042">
        <w:rPr>
          <w:rFonts w:cs="Arial"/>
        </w:rPr>
        <w:t>3</w:t>
      </w:r>
      <w:r w:rsidR="001543E4">
        <w:rPr>
          <w:rFonts w:cs="Arial"/>
        </w:rPr>
        <w:tab/>
      </w:r>
      <w:r w:rsidR="001543E4" w:rsidRPr="00243E6D">
        <w:rPr>
          <w:rFonts w:cs="Arial"/>
        </w:rPr>
        <w:t xml:space="preserve">Paragraph 126 of the NPPF (2021) states that </w:t>
      </w:r>
      <w:r w:rsidR="001543E4" w:rsidRPr="00FA20C7">
        <w:rPr>
          <w:rFonts w:cs="Arial"/>
          <w:i/>
          <w:iCs/>
        </w:rPr>
        <w:t>the creation of high quality, beautiful and sustainable buildings and places is fundamental to what the planning and development process should achieve. Good design is a key aspect of sustainable development, creates better places in which to live and work and helps make development acceptable to communities. Being clear about design expectations, and how these will be tested, is essential for achieving this.</w:t>
      </w:r>
    </w:p>
    <w:p w14:paraId="3539689C" w14:textId="77777777" w:rsidR="00962C5B" w:rsidRDefault="00962C5B" w:rsidP="001543E4">
      <w:pPr>
        <w:ind w:left="720" w:hanging="720"/>
        <w:jc w:val="both"/>
        <w:rPr>
          <w:rFonts w:cs="Arial"/>
        </w:rPr>
      </w:pPr>
    </w:p>
    <w:p w14:paraId="6460DAD1" w14:textId="5C5FA07E" w:rsidR="001543E4" w:rsidRDefault="00962C5B" w:rsidP="001543E4">
      <w:pPr>
        <w:ind w:left="720" w:hanging="720"/>
        <w:jc w:val="both"/>
        <w:rPr>
          <w:rFonts w:cs="Arial"/>
          <w:i/>
          <w:iCs/>
        </w:rPr>
      </w:pPr>
      <w:r>
        <w:rPr>
          <w:rFonts w:cs="Arial"/>
        </w:rPr>
        <w:t>5</w:t>
      </w:r>
      <w:r w:rsidR="001543E4">
        <w:rPr>
          <w:rFonts w:cs="Arial"/>
        </w:rPr>
        <w:t>.</w:t>
      </w:r>
      <w:r w:rsidR="00FF6042">
        <w:rPr>
          <w:rFonts w:cs="Arial"/>
        </w:rPr>
        <w:t>4</w:t>
      </w:r>
      <w:r w:rsidR="001543E4">
        <w:rPr>
          <w:rFonts w:cs="Arial"/>
        </w:rPr>
        <w:tab/>
        <w:t xml:space="preserve">Paragraph 127 goes on to state </w:t>
      </w:r>
      <w:r w:rsidR="001543E4" w:rsidRPr="00FA20C7">
        <w:rPr>
          <w:rFonts w:cs="Arial"/>
          <w:i/>
          <w:iCs/>
        </w:rPr>
        <w:t>Plans should, at the most appropriate level, set out a clear design vision and expectations, so that applicants have as much certainty as possible about what is likely to be acceptable</w:t>
      </w:r>
    </w:p>
    <w:p w14:paraId="1A673CC9" w14:textId="77777777" w:rsidR="00962C5B" w:rsidRPr="00243E6D" w:rsidRDefault="00962C5B" w:rsidP="001543E4">
      <w:pPr>
        <w:ind w:left="720" w:hanging="720"/>
        <w:jc w:val="both"/>
        <w:rPr>
          <w:rFonts w:cs="Arial"/>
        </w:rPr>
      </w:pPr>
    </w:p>
    <w:p w14:paraId="72B76ABA" w14:textId="4FA43680" w:rsidR="001543E4" w:rsidRPr="00DB712A" w:rsidRDefault="00962C5B" w:rsidP="001543E4">
      <w:pPr>
        <w:ind w:left="720" w:hanging="720"/>
        <w:jc w:val="both"/>
        <w:rPr>
          <w:rFonts w:cs="Arial"/>
        </w:rPr>
      </w:pPr>
      <w:r>
        <w:rPr>
          <w:rFonts w:cs="Arial"/>
        </w:rPr>
        <w:t>5</w:t>
      </w:r>
      <w:r w:rsidR="001543E4">
        <w:rPr>
          <w:rFonts w:cs="Arial"/>
        </w:rPr>
        <w:t>.</w:t>
      </w:r>
      <w:r w:rsidR="00FF6042">
        <w:rPr>
          <w:rFonts w:cs="Arial"/>
        </w:rPr>
        <w:t>5</w:t>
      </w:r>
      <w:r w:rsidR="001543E4">
        <w:rPr>
          <w:rFonts w:cs="Arial"/>
        </w:rPr>
        <w:tab/>
      </w:r>
      <w:proofErr w:type="gramStart"/>
      <w:r w:rsidR="001543E4" w:rsidRPr="00DB712A">
        <w:rPr>
          <w:rFonts w:cs="Arial"/>
        </w:rPr>
        <w:t xml:space="preserve">It is clear that </w:t>
      </w:r>
      <w:r w:rsidR="001543E4">
        <w:rPr>
          <w:rFonts w:cs="Arial"/>
        </w:rPr>
        <w:t>since</w:t>
      </w:r>
      <w:proofErr w:type="gramEnd"/>
      <w:r w:rsidR="001543E4">
        <w:rPr>
          <w:rFonts w:cs="Arial"/>
        </w:rPr>
        <w:t xml:space="preserve"> the adoption of the Harrow Local Plan, there has been a significant shift in increasing the design quality of </w:t>
      </w:r>
      <w:r w:rsidR="00366743">
        <w:rPr>
          <w:rFonts w:cs="Arial"/>
        </w:rPr>
        <w:t>development</w:t>
      </w:r>
      <w:r w:rsidR="001543E4">
        <w:rPr>
          <w:rFonts w:cs="Arial"/>
        </w:rPr>
        <w:t xml:space="preserve">, which has been lead through the NPPF (2021). The </w:t>
      </w:r>
      <w:r w:rsidR="001B16EA">
        <w:rPr>
          <w:rFonts w:cs="Arial"/>
        </w:rPr>
        <w:t xml:space="preserve">residential </w:t>
      </w:r>
      <w:r w:rsidR="001543E4">
        <w:rPr>
          <w:rFonts w:cs="Arial"/>
        </w:rPr>
        <w:t xml:space="preserve">conversion guidance would assist in meeting this aspiration. </w:t>
      </w:r>
    </w:p>
    <w:p w14:paraId="01E23FAC" w14:textId="77777777" w:rsidR="00962C5B" w:rsidRDefault="00962C5B" w:rsidP="001543E4">
      <w:pPr>
        <w:ind w:firstLine="720"/>
        <w:jc w:val="both"/>
        <w:rPr>
          <w:rFonts w:cs="Arial"/>
          <w:b/>
          <w:bCs/>
        </w:rPr>
      </w:pPr>
    </w:p>
    <w:p w14:paraId="01864381" w14:textId="0F44854C" w:rsidR="001543E4" w:rsidRDefault="001543E4" w:rsidP="00805F9B">
      <w:pPr>
        <w:keepNext/>
        <w:ind w:firstLine="720"/>
        <w:jc w:val="both"/>
        <w:rPr>
          <w:rFonts w:cs="Arial"/>
          <w:b/>
          <w:bCs/>
        </w:rPr>
      </w:pPr>
      <w:r w:rsidRPr="00982C3A">
        <w:rPr>
          <w:rFonts w:cs="Arial"/>
          <w:b/>
          <w:bCs/>
        </w:rPr>
        <w:t>London Plan (2021)</w:t>
      </w:r>
    </w:p>
    <w:p w14:paraId="1E279E05" w14:textId="77777777" w:rsidR="00962C5B" w:rsidRPr="00982C3A" w:rsidRDefault="00962C5B" w:rsidP="00805F9B">
      <w:pPr>
        <w:keepNext/>
        <w:ind w:firstLine="720"/>
        <w:jc w:val="both"/>
        <w:rPr>
          <w:rFonts w:cs="Arial"/>
          <w:b/>
          <w:bCs/>
        </w:rPr>
      </w:pPr>
    </w:p>
    <w:p w14:paraId="16D86EED" w14:textId="4AE0DFDF" w:rsidR="001543E4" w:rsidRDefault="00962C5B" w:rsidP="001543E4">
      <w:pPr>
        <w:ind w:left="720" w:hanging="720"/>
        <w:jc w:val="both"/>
        <w:rPr>
          <w:rFonts w:cs="Arial"/>
        </w:rPr>
      </w:pPr>
      <w:r>
        <w:rPr>
          <w:rFonts w:cs="Arial"/>
        </w:rPr>
        <w:t>5</w:t>
      </w:r>
      <w:r w:rsidR="001543E4">
        <w:rPr>
          <w:rFonts w:cs="Arial"/>
        </w:rPr>
        <w:t>.</w:t>
      </w:r>
      <w:r w:rsidR="00FF6042">
        <w:rPr>
          <w:rFonts w:cs="Arial"/>
        </w:rPr>
        <w:t>6</w:t>
      </w:r>
      <w:r w:rsidR="001543E4">
        <w:rPr>
          <w:rFonts w:cs="Arial"/>
        </w:rPr>
        <w:tab/>
        <w:t xml:space="preserve">The London Plan (2021) is the spatial plan for Greater London and sets out </w:t>
      </w:r>
      <w:r w:rsidR="005A083D">
        <w:rPr>
          <w:rFonts w:cs="Arial"/>
        </w:rPr>
        <w:t>several</w:t>
      </w:r>
      <w:r w:rsidR="001543E4">
        <w:rPr>
          <w:rFonts w:cs="Arial"/>
        </w:rPr>
        <w:t xml:space="preserve"> policies that seek to ensure new development is of a </w:t>
      </w:r>
      <w:r w:rsidR="005A083D">
        <w:rPr>
          <w:rFonts w:cs="Arial"/>
        </w:rPr>
        <w:t>high-quality</w:t>
      </w:r>
      <w:r w:rsidR="001543E4">
        <w:rPr>
          <w:rFonts w:cs="Arial"/>
        </w:rPr>
        <w:t xml:space="preserve"> design, and that new housing meets minimum standards to ensure a satisfactory level of accommodation. Whilst any guidance set out within a proposed SPD would be giving further guidance to identified policies within the </w:t>
      </w:r>
      <w:r w:rsidR="00BA2684">
        <w:rPr>
          <w:rFonts w:cs="Arial"/>
        </w:rPr>
        <w:t>Harrow L</w:t>
      </w:r>
      <w:r w:rsidR="001543E4">
        <w:rPr>
          <w:rFonts w:cs="Arial"/>
        </w:rPr>
        <w:t xml:space="preserve">ocal </w:t>
      </w:r>
      <w:r w:rsidR="00BA2684">
        <w:rPr>
          <w:rFonts w:cs="Arial"/>
        </w:rPr>
        <w:t>P</w:t>
      </w:r>
      <w:r w:rsidR="001543E4">
        <w:rPr>
          <w:rFonts w:cs="Arial"/>
        </w:rPr>
        <w:t xml:space="preserve">lan (HDMPLP (2013)), proposals must consider the development plan (which the London Plan (2021) forms part of) in the round. Accordingly, the following policies are the most relevant that are currently being used by Development Management (DM) in the assessment of planning applications seeking to convert existing </w:t>
      </w:r>
      <w:r w:rsidR="006B4963">
        <w:rPr>
          <w:rFonts w:cs="Arial"/>
        </w:rPr>
        <w:t xml:space="preserve">single </w:t>
      </w:r>
      <w:r w:rsidR="00B4689B">
        <w:rPr>
          <w:rFonts w:cs="Arial"/>
        </w:rPr>
        <w:t xml:space="preserve">dwellings </w:t>
      </w:r>
      <w:r w:rsidR="001543E4">
        <w:rPr>
          <w:rFonts w:cs="Arial"/>
        </w:rPr>
        <w:t xml:space="preserve">into </w:t>
      </w:r>
      <w:r w:rsidR="00B4689B">
        <w:rPr>
          <w:rFonts w:cs="Arial"/>
        </w:rPr>
        <w:t>flats</w:t>
      </w:r>
      <w:r w:rsidR="001543E4">
        <w:rPr>
          <w:rFonts w:cs="Arial"/>
        </w:rPr>
        <w:t xml:space="preserve">. </w:t>
      </w:r>
    </w:p>
    <w:p w14:paraId="40689A68" w14:textId="77777777" w:rsidR="00962C5B" w:rsidRDefault="00962C5B" w:rsidP="001543E4">
      <w:pPr>
        <w:ind w:left="720" w:hanging="720"/>
        <w:jc w:val="both"/>
        <w:rPr>
          <w:rFonts w:cs="Arial"/>
        </w:rPr>
      </w:pPr>
    </w:p>
    <w:p w14:paraId="08244362" w14:textId="05939A01" w:rsidR="001543E4" w:rsidRPr="003E32FA" w:rsidRDefault="001543E4" w:rsidP="001543E4">
      <w:pPr>
        <w:ind w:firstLine="720"/>
        <w:jc w:val="both"/>
        <w:rPr>
          <w:rFonts w:cs="Arial"/>
          <w:i/>
          <w:iCs/>
          <w:sz w:val="22"/>
          <w:szCs w:val="22"/>
        </w:rPr>
      </w:pPr>
      <w:r w:rsidRPr="003E32FA">
        <w:rPr>
          <w:rFonts w:cs="Arial"/>
          <w:i/>
          <w:iCs/>
          <w:sz w:val="22"/>
          <w:szCs w:val="22"/>
        </w:rPr>
        <w:t xml:space="preserve">Policy D1 London’s form, </w:t>
      </w:r>
      <w:proofErr w:type="gramStart"/>
      <w:r w:rsidRPr="003E32FA">
        <w:rPr>
          <w:rFonts w:cs="Arial"/>
          <w:i/>
          <w:iCs/>
          <w:sz w:val="22"/>
          <w:szCs w:val="22"/>
        </w:rPr>
        <w:t>character</w:t>
      </w:r>
      <w:proofErr w:type="gramEnd"/>
      <w:r w:rsidRPr="003E32FA">
        <w:rPr>
          <w:rFonts w:cs="Arial"/>
          <w:i/>
          <w:iCs/>
          <w:sz w:val="22"/>
          <w:szCs w:val="22"/>
        </w:rPr>
        <w:t xml:space="preserve"> and capacity for growth</w:t>
      </w:r>
    </w:p>
    <w:p w14:paraId="0A87C792" w14:textId="77777777" w:rsidR="00962C5B" w:rsidRPr="003E32FA" w:rsidRDefault="00962C5B" w:rsidP="001543E4">
      <w:pPr>
        <w:ind w:firstLine="720"/>
        <w:jc w:val="both"/>
        <w:rPr>
          <w:rFonts w:cs="Arial"/>
          <w:i/>
          <w:iCs/>
          <w:sz w:val="22"/>
          <w:szCs w:val="22"/>
        </w:rPr>
      </w:pPr>
    </w:p>
    <w:p w14:paraId="7239B7F0" w14:textId="77777777" w:rsidR="001543E4" w:rsidRPr="003E32FA" w:rsidRDefault="001543E4" w:rsidP="001543E4">
      <w:pPr>
        <w:ind w:firstLine="720"/>
        <w:jc w:val="both"/>
        <w:rPr>
          <w:rFonts w:cs="Arial"/>
          <w:i/>
          <w:iCs/>
          <w:sz w:val="22"/>
          <w:szCs w:val="22"/>
        </w:rPr>
      </w:pPr>
      <w:r w:rsidRPr="003E32FA">
        <w:rPr>
          <w:rFonts w:cs="Arial"/>
          <w:i/>
          <w:iCs/>
          <w:sz w:val="22"/>
          <w:szCs w:val="22"/>
        </w:rPr>
        <w:t>Policy D3 Optimising site capacity through the design-led approach</w:t>
      </w:r>
    </w:p>
    <w:p w14:paraId="2B5276A0" w14:textId="77777777" w:rsidR="001543E4" w:rsidRPr="003E32FA" w:rsidRDefault="001543E4" w:rsidP="0044548D">
      <w:pPr>
        <w:pStyle w:val="ListParagraph"/>
        <w:numPr>
          <w:ilvl w:val="0"/>
          <w:numId w:val="6"/>
        </w:numPr>
        <w:spacing w:after="160" w:line="259" w:lineRule="auto"/>
        <w:contextualSpacing/>
        <w:jc w:val="both"/>
        <w:rPr>
          <w:i/>
          <w:iCs/>
        </w:rPr>
      </w:pPr>
      <w:r w:rsidRPr="003E32FA">
        <w:rPr>
          <w:i/>
          <w:iCs/>
        </w:rPr>
        <w:t>Applies a design-led approach</w:t>
      </w:r>
    </w:p>
    <w:p w14:paraId="159DA0BC" w14:textId="77777777" w:rsidR="001543E4" w:rsidRPr="003E32FA" w:rsidRDefault="001543E4" w:rsidP="0044548D">
      <w:pPr>
        <w:pStyle w:val="ListParagraph"/>
        <w:numPr>
          <w:ilvl w:val="0"/>
          <w:numId w:val="6"/>
        </w:numPr>
        <w:spacing w:after="160" w:line="259" w:lineRule="auto"/>
        <w:contextualSpacing/>
        <w:jc w:val="both"/>
        <w:rPr>
          <w:i/>
          <w:iCs/>
        </w:rPr>
      </w:pPr>
      <w:r w:rsidRPr="003E32FA">
        <w:rPr>
          <w:i/>
          <w:iCs/>
        </w:rPr>
        <w:t>Form &amp; Layout</w:t>
      </w:r>
    </w:p>
    <w:p w14:paraId="5B2C0025" w14:textId="77777777" w:rsidR="001543E4" w:rsidRPr="003E32FA" w:rsidRDefault="001543E4" w:rsidP="0044548D">
      <w:pPr>
        <w:pStyle w:val="ListParagraph"/>
        <w:numPr>
          <w:ilvl w:val="0"/>
          <w:numId w:val="6"/>
        </w:numPr>
        <w:spacing w:after="160" w:line="259" w:lineRule="auto"/>
        <w:contextualSpacing/>
        <w:jc w:val="both"/>
        <w:rPr>
          <w:i/>
          <w:iCs/>
        </w:rPr>
      </w:pPr>
      <w:r w:rsidRPr="003E32FA">
        <w:rPr>
          <w:i/>
          <w:iCs/>
        </w:rPr>
        <w:t>Experience</w:t>
      </w:r>
    </w:p>
    <w:p w14:paraId="420E7FF5" w14:textId="77777777" w:rsidR="001543E4" w:rsidRPr="003E32FA" w:rsidRDefault="001543E4" w:rsidP="0044548D">
      <w:pPr>
        <w:pStyle w:val="ListParagraph"/>
        <w:numPr>
          <w:ilvl w:val="0"/>
          <w:numId w:val="6"/>
        </w:numPr>
        <w:spacing w:after="160" w:line="259" w:lineRule="auto"/>
        <w:contextualSpacing/>
        <w:jc w:val="both"/>
        <w:rPr>
          <w:i/>
          <w:iCs/>
        </w:rPr>
      </w:pPr>
      <w:r w:rsidRPr="003E32FA">
        <w:rPr>
          <w:i/>
          <w:iCs/>
        </w:rPr>
        <w:t>Quality and Character</w:t>
      </w:r>
    </w:p>
    <w:p w14:paraId="414F9ECA" w14:textId="77777777" w:rsidR="001543E4" w:rsidRPr="003E32FA" w:rsidRDefault="001543E4" w:rsidP="001543E4">
      <w:pPr>
        <w:ind w:firstLine="720"/>
        <w:jc w:val="both"/>
        <w:rPr>
          <w:rFonts w:cs="Arial"/>
          <w:i/>
          <w:iCs/>
          <w:sz w:val="22"/>
          <w:szCs w:val="22"/>
        </w:rPr>
      </w:pPr>
      <w:r w:rsidRPr="003E32FA">
        <w:rPr>
          <w:rFonts w:cs="Arial"/>
          <w:i/>
          <w:iCs/>
          <w:sz w:val="22"/>
          <w:szCs w:val="22"/>
        </w:rPr>
        <w:lastRenderedPageBreak/>
        <w:t>Policy D6 Housing Quality &amp; Standards</w:t>
      </w:r>
    </w:p>
    <w:p w14:paraId="268B7B7C" w14:textId="77777777" w:rsidR="001543E4" w:rsidRPr="003E32FA" w:rsidRDefault="001543E4" w:rsidP="0044548D">
      <w:pPr>
        <w:pStyle w:val="ListParagraph"/>
        <w:numPr>
          <w:ilvl w:val="0"/>
          <w:numId w:val="7"/>
        </w:numPr>
        <w:spacing w:after="160" w:line="259" w:lineRule="auto"/>
        <w:contextualSpacing/>
        <w:jc w:val="both"/>
        <w:rPr>
          <w:i/>
          <w:iCs/>
        </w:rPr>
      </w:pPr>
      <w:r w:rsidRPr="003E32FA">
        <w:rPr>
          <w:i/>
          <w:iCs/>
        </w:rPr>
        <w:t>Private internal space</w:t>
      </w:r>
    </w:p>
    <w:p w14:paraId="500CFE31" w14:textId="77777777" w:rsidR="001543E4" w:rsidRPr="003E32FA" w:rsidRDefault="001543E4" w:rsidP="0044548D">
      <w:pPr>
        <w:pStyle w:val="ListParagraph"/>
        <w:numPr>
          <w:ilvl w:val="0"/>
          <w:numId w:val="7"/>
        </w:numPr>
        <w:spacing w:after="160" w:line="259" w:lineRule="auto"/>
        <w:contextualSpacing/>
        <w:jc w:val="both"/>
        <w:rPr>
          <w:i/>
          <w:iCs/>
        </w:rPr>
      </w:pPr>
      <w:r w:rsidRPr="003E32FA">
        <w:rPr>
          <w:i/>
          <w:iCs/>
        </w:rPr>
        <w:t>Private outside space</w:t>
      </w:r>
    </w:p>
    <w:p w14:paraId="1D8075D8" w14:textId="77777777" w:rsidR="001543E4" w:rsidRPr="003E32FA" w:rsidRDefault="001543E4" w:rsidP="0044548D">
      <w:pPr>
        <w:pStyle w:val="ListParagraph"/>
        <w:numPr>
          <w:ilvl w:val="0"/>
          <w:numId w:val="7"/>
        </w:numPr>
        <w:spacing w:after="160" w:line="259" w:lineRule="auto"/>
        <w:contextualSpacing/>
        <w:jc w:val="both"/>
        <w:rPr>
          <w:i/>
          <w:iCs/>
        </w:rPr>
      </w:pPr>
      <w:r w:rsidRPr="003E32FA">
        <w:rPr>
          <w:i/>
          <w:iCs/>
        </w:rPr>
        <w:t>Communal play space – needs to be assessed against Policy S4</w:t>
      </w:r>
    </w:p>
    <w:p w14:paraId="6435A35A" w14:textId="77777777" w:rsidR="001543E4" w:rsidRPr="003E32FA" w:rsidRDefault="001543E4" w:rsidP="001543E4">
      <w:pPr>
        <w:pStyle w:val="ListParagraph"/>
        <w:jc w:val="both"/>
        <w:rPr>
          <w:rFonts w:cstheme="minorHAnsi"/>
          <w:i/>
          <w:iCs/>
        </w:rPr>
      </w:pPr>
    </w:p>
    <w:p w14:paraId="78C8A343" w14:textId="77777777" w:rsidR="001543E4" w:rsidRPr="003E32FA" w:rsidRDefault="001543E4" w:rsidP="001543E4">
      <w:pPr>
        <w:pStyle w:val="ListParagraph"/>
        <w:jc w:val="both"/>
        <w:rPr>
          <w:i/>
          <w:iCs/>
        </w:rPr>
      </w:pPr>
      <w:r w:rsidRPr="003E32FA">
        <w:rPr>
          <w:i/>
          <w:iCs/>
        </w:rPr>
        <w:t xml:space="preserve">Policy H2 (Small Sites) </w:t>
      </w:r>
    </w:p>
    <w:p w14:paraId="6DC4C6BB" w14:textId="77777777" w:rsidR="001543E4" w:rsidRPr="003E32FA" w:rsidRDefault="001543E4" w:rsidP="0044548D">
      <w:pPr>
        <w:pStyle w:val="ListParagraph"/>
        <w:numPr>
          <w:ilvl w:val="0"/>
          <w:numId w:val="15"/>
        </w:numPr>
        <w:spacing w:after="160" w:line="259" w:lineRule="auto"/>
        <w:contextualSpacing/>
        <w:jc w:val="both"/>
        <w:rPr>
          <w:i/>
          <w:iCs/>
        </w:rPr>
      </w:pPr>
      <w:r w:rsidRPr="003E32FA">
        <w:rPr>
          <w:i/>
          <w:iCs/>
        </w:rPr>
        <w:t>Boroughs should pro-actively support well-designed new homes on small sites (below 0.25 hectares in size) through both planning decisions and plan-</w:t>
      </w:r>
      <w:proofErr w:type="gramStart"/>
      <w:r w:rsidRPr="003E32FA">
        <w:rPr>
          <w:i/>
          <w:iCs/>
        </w:rPr>
        <w:t>making;</w:t>
      </w:r>
      <w:proofErr w:type="gramEnd"/>
    </w:p>
    <w:p w14:paraId="3108E214" w14:textId="77777777" w:rsidR="001543E4" w:rsidRPr="003E32FA" w:rsidRDefault="001543E4" w:rsidP="0044548D">
      <w:pPr>
        <w:pStyle w:val="ListParagraph"/>
        <w:numPr>
          <w:ilvl w:val="0"/>
          <w:numId w:val="15"/>
        </w:numPr>
        <w:spacing w:after="160" w:line="259" w:lineRule="auto"/>
        <w:contextualSpacing/>
        <w:jc w:val="both"/>
        <w:rPr>
          <w:i/>
          <w:iCs/>
        </w:rPr>
      </w:pPr>
      <w:r w:rsidRPr="003E32FA">
        <w:rPr>
          <w:i/>
          <w:iCs/>
        </w:rPr>
        <w:t>significantly increase the contribution of small sites to meeting London’s housing needs</w:t>
      </w:r>
    </w:p>
    <w:p w14:paraId="3CD5F3B4" w14:textId="77777777" w:rsidR="001543E4" w:rsidRPr="003E32FA" w:rsidRDefault="001543E4" w:rsidP="0044548D">
      <w:pPr>
        <w:pStyle w:val="ListParagraph"/>
        <w:numPr>
          <w:ilvl w:val="0"/>
          <w:numId w:val="15"/>
        </w:numPr>
        <w:spacing w:after="160" w:line="259" w:lineRule="auto"/>
        <w:contextualSpacing/>
        <w:jc w:val="both"/>
        <w:rPr>
          <w:i/>
          <w:iCs/>
        </w:rPr>
      </w:pPr>
      <w:r w:rsidRPr="003E32FA">
        <w:rPr>
          <w:i/>
          <w:iCs/>
        </w:rPr>
        <w:t>diversify the sources, locations, type and mix of housing supply</w:t>
      </w:r>
    </w:p>
    <w:p w14:paraId="76F32371" w14:textId="77777777" w:rsidR="001543E4" w:rsidRPr="003E32FA" w:rsidRDefault="001543E4" w:rsidP="001543E4">
      <w:pPr>
        <w:pStyle w:val="ListParagraph"/>
        <w:jc w:val="both"/>
        <w:rPr>
          <w:i/>
          <w:iCs/>
        </w:rPr>
      </w:pPr>
    </w:p>
    <w:p w14:paraId="68A3AB32" w14:textId="77777777" w:rsidR="001543E4" w:rsidRPr="00264773" w:rsidRDefault="001543E4" w:rsidP="001543E4">
      <w:pPr>
        <w:ind w:left="1440" w:hanging="1440"/>
        <w:jc w:val="both"/>
        <w:rPr>
          <w:rFonts w:cs="Arial"/>
        </w:rPr>
      </w:pPr>
      <w:r w:rsidRPr="003E32FA">
        <w:rPr>
          <w:rFonts w:cs="Arial"/>
          <w:i/>
          <w:iCs/>
          <w:sz w:val="22"/>
          <w:szCs w:val="22"/>
        </w:rPr>
        <w:t xml:space="preserve">Para 4.2.8 </w:t>
      </w:r>
      <w:r w:rsidRPr="003E32FA">
        <w:rPr>
          <w:rFonts w:cs="Arial"/>
          <w:i/>
          <w:iCs/>
          <w:sz w:val="22"/>
          <w:szCs w:val="22"/>
        </w:rPr>
        <w:tab/>
        <w:t xml:space="preserve">Where existing houses are redeveloped or subdivided, boroughs may require the provision of family-sized units (3 bed + units) providing sufficient design flexibility is provided to allow the existing footprint of a house to be enlarged </w:t>
      </w:r>
      <w:proofErr w:type="gramStart"/>
      <w:r w:rsidRPr="003E32FA">
        <w:rPr>
          <w:rFonts w:cs="Arial"/>
          <w:i/>
          <w:iCs/>
          <w:sz w:val="22"/>
          <w:szCs w:val="22"/>
        </w:rPr>
        <w:t>in order to</w:t>
      </w:r>
      <w:proofErr w:type="gramEnd"/>
      <w:r w:rsidRPr="003E32FA">
        <w:rPr>
          <w:rFonts w:cs="Arial"/>
          <w:i/>
          <w:iCs/>
          <w:sz w:val="22"/>
          <w:szCs w:val="22"/>
        </w:rPr>
        <w:t xml:space="preserve"> meet this requirement.</w:t>
      </w:r>
      <w:r w:rsidRPr="00264773">
        <w:rPr>
          <w:rFonts w:cs="Arial"/>
        </w:rPr>
        <w:t xml:space="preserve"> </w:t>
      </w:r>
    </w:p>
    <w:p w14:paraId="496AFA93" w14:textId="77777777" w:rsidR="00A24ED5" w:rsidRDefault="00A24ED5" w:rsidP="001543E4">
      <w:pPr>
        <w:jc w:val="both"/>
        <w:rPr>
          <w:rFonts w:cs="Arial"/>
          <w:b/>
          <w:bCs/>
          <w:u w:val="single"/>
        </w:rPr>
      </w:pPr>
    </w:p>
    <w:p w14:paraId="436D202E" w14:textId="3A2D536D" w:rsidR="001543E4" w:rsidRPr="00CA784C" w:rsidRDefault="00962C5B" w:rsidP="003E32FA">
      <w:pPr>
        <w:keepNext/>
        <w:jc w:val="both"/>
        <w:rPr>
          <w:rFonts w:cs="Arial"/>
          <w:b/>
          <w:bCs/>
          <w:sz w:val="28"/>
          <w:szCs w:val="28"/>
          <w:u w:val="single"/>
        </w:rPr>
      </w:pPr>
      <w:r w:rsidRPr="00CA784C">
        <w:rPr>
          <w:rFonts w:cs="Arial"/>
          <w:b/>
          <w:bCs/>
          <w:sz w:val="28"/>
          <w:szCs w:val="28"/>
        </w:rPr>
        <w:t>6</w:t>
      </w:r>
      <w:r w:rsidR="001543E4" w:rsidRPr="00CA784C">
        <w:rPr>
          <w:rFonts w:cs="Arial"/>
          <w:b/>
          <w:bCs/>
          <w:sz w:val="28"/>
          <w:szCs w:val="28"/>
        </w:rPr>
        <w:t>.</w:t>
      </w:r>
      <w:r w:rsidR="003E32FA">
        <w:rPr>
          <w:rFonts w:cs="Arial"/>
          <w:b/>
          <w:bCs/>
          <w:sz w:val="28"/>
          <w:szCs w:val="28"/>
        </w:rPr>
        <w:t>0</w:t>
      </w:r>
      <w:r w:rsidR="001543E4" w:rsidRPr="00CA784C">
        <w:rPr>
          <w:rFonts w:cs="Arial"/>
          <w:b/>
          <w:bCs/>
          <w:sz w:val="28"/>
          <w:szCs w:val="28"/>
        </w:rPr>
        <w:tab/>
        <w:t xml:space="preserve">Harrow Local </w:t>
      </w:r>
      <w:r w:rsidR="009E502E" w:rsidRPr="00CA784C">
        <w:rPr>
          <w:rFonts w:cs="Arial"/>
          <w:b/>
          <w:bCs/>
          <w:sz w:val="28"/>
          <w:szCs w:val="28"/>
        </w:rPr>
        <w:t>Development Framework</w:t>
      </w:r>
    </w:p>
    <w:p w14:paraId="75A4935B" w14:textId="77777777" w:rsidR="00962C5B" w:rsidRPr="003B4D8E" w:rsidRDefault="00962C5B" w:rsidP="003E32FA">
      <w:pPr>
        <w:keepNext/>
        <w:jc w:val="both"/>
        <w:rPr>
          <w:rFonts w:cs="Arial"/>
          <w:b/>
          <w:bCs/>
          <w:u w:val="single"/>
        </w:rPr>
      </w:pPr>
    </w:p>
    <w:p w14:paraId="4C78557C" w14:textId="0E3327F9" w:rsidR="001543E4" w:rsidRDefault="00962C5B" w:rsidP="003E32FA">
      <w:pPr>
        <w:keepNext/>
        <w:ind w:left="720" w:hanging="720"/>
        <w:jc w:val="both"/>
        <w:rPr>
          <w:rFonts w:cs="Arial"/>
        </w:rPr>
      </w:pPr>
      <w:r>
        <w:rPr>
          <w:rFonts w:cs="Arial"/>
        </w:rPr>
        <w:t>6</w:t>
      </w:r>
      <w:r w:rsidR="001543E4" w:rsidRPr="003B4D8E">
        <w:rPr>
          <w:rFonts w:cs="Arial"/>
        </w:rPr>
        <w:t>.1</w:t>
      </w:r>
      <w:r w:rsidR="001543E4" w:rsidRPr="003B4D8E">
        <w:rPr>
          <w:rFonts w:cs="Arial"/>
        </w:rPr>
        <w:tab/>
        <w:t xml:space="preserve">The following section sets out the documents that </w:t>
      </w:r>
      <w:r w:rsidR="00DE1440">
        <w:rPr>
          <w:rFonts w:cs="Arial"/>
        </w:rPr>
        <w:t>comprise</w:t>
      </w:r>
      <w:r w:rsidR="00DE1440" w:rsidRPr="003B4D8E">
        <w:rPr>
          <w:rFonts w:cs="Arial"/>
        </w:rPr>
        <w:t xml:space="preserve"> </w:t>
      </w:r>
      <w:r w:rsidR="001543E4" w:rsidRPr="003B4D8E">
        <w:rPr>
          <w:rFonts w:cs="Arial"/>
        </w:rPr>
        <w:t xml:space="preserve">the Harrow Local </w:t>
      </w:r>
      <w:r w:rsidR="00637E9B">
        <w:rPr>
          <w:rFonts w:cs="Arial"/>
        </w:rPr>
        <w:t xml:space="preserve">Development Framework (LDF) </w:t>
      </w:r>
      <w:r w:rsidR="001543E4">
        <w:rPr>
          <w:rFonts w:cs="Arial"/>
        </w:rPr>
        <w:t>(forming part of the development plan with the London Plan (2021)</w:t>
      </w:r>
      <w:proofErr w:type="gramStart"/>
      <w:r w:rsidR="001543E4">
        <w:rPr>
          <w:rFonts w:cs="Arial"/>
        </w:rPr>
        <w:t>)</w:t>
      </w:r>
      <w:r w:rsidR="001543E4" w:rsidRPr="003B4D8E">
        <w:rPr>
          <w:rFonts w:cs="Arial"/>
        </w:rPr>
        <w:t>, and</w:t>
      </w:r>
      <w:proofErr w:type="gramEnd"/>
      <w:r w:rsidR="001543E4" w:rsidRPr="003B4D8E">
        <w:rPr>
          <w:rFonts w:cs="Arial"/>
        </w:rPr>
        <w:t xml:space="preserve"> goes on to set out the relevant policies that are used by planning officers in the determination of planning applications relating to conversion of </w:t>
      </w:r>
      <w:r w:rsidR="00D2022A">
        <w:rPr>
          <w:rFonts w:cs="Arial"/>
        </w:rPr>
        <w:t xml:space="preserve">single </w:t>
      </w:r>
      <w:r w:rsidR="001543E4" w:rsidRPr="003B4D8E">
        <w:rPr>
          <w:rFonts w:cs="Arial"/>
        </w:rPr>
        <w:t xml:space="preserve">dwellings to multiple </w:t>
      </w:r>
      <w:r w:rsidR="00D2022A">
        <w:rPr>
          <w:rFonts w:cs="Arial"/>
        </w:rPr>
        <w:t>flats</w:t>
      </w:r>
      <w:r w:rsidR="001543E4" w:rsidRPr="003B4D8E">
        <w:rPr>
          <w:rFonts w:cs="Arial"/>
        </w:rPr>
        <w:t xml:space="preserve">. It also sets out the relevant, existing SPDs referred to in such applications. </w:t>
      </w:r>
    </w:p>
    <w:p w14:paraId="704AA566" w14:textId="77777777" w:rsidR="00962C5B" w:rsidRPr="003B4D8E" w:rsidRDefault="00962C5B" w:rsidP="003E32FA">
      <w:pPr>
        <w:keepNext/>
        <w:ind w:left="720" w:hanging="720"/>
        <w:jc w:val="both"/>
        <w:rPr>
          <w:rFonts w:cs="Arial"/>
        </w:rPr>
      </w:pPr>
    </w:p>
    <w:p w14:paraId="55FF013C" w14:textId="77777777" w:rsidR="000B1114" w:rsidRDefault="000B1114" w:rsidP="000B1114">
      <w:pPr>
        <w:pStyle w:val="ListParagraph"/>
        <w:spacing w:after="160" w:line="259" w:lineRule="auto"/>
        <w:ind w:left="1080"/>
        <w:contextualSpacing/>
        <w:jc w:val="both"/>
        <w:rPr>
          <w:sz w:val="24"/>
          <w:szCs w:val="24"/>
        </w:rPr>
      </w:pPr>
      <w:r>
        <w:rPr>
          <w:sz w:val="24"/>
          <w:szCs w:val="24"/>
        </w:rPr>
        <w:t>a.</w:t>
      </w:r>
      <w:r>
        <w:rPr>
          <w:sz w:val="24"/>
          <w:szCs w:val="24"/>
        </w:rPr>
        <w:tab/>
      </w:r>
      <w:r w:rsidR="001543E4" w:rsidRPr="00BD595B">
        <w:rPr>
          <w:sz w:val="24"/>
          <w:szCs w:val="24"/>
        </w:rPr>
        <w:t>Harrow Core Strategy (2012)</w:t>
      </w:r>
    </w:p>
    <w:p w14:paraId="29996C09" w14:textId="77777777" w:rsidR="008F0830" w:rsidRDefault="008F0830" w:rsidP="008F0830">
      <w:pPr>
        <w:pStyle w:val="ListParagraph"/>
        <w:spacing w:after="160" w:line="259" w:lineRule="auto"/>
        <w:ind w:left="1080"/>
        <w:contextualSpacing/>
        <w:jc w:val="both"/>
        <w:rPr>
          <w:sz w:val="24"/>
          <w:szCs w:val="24"/>
        </w:rPr>
      </w:pPr>
      <w:r>
        <w:rPr>
          <w:sz w:val="24"/>
          <w:szCs w:val="24"/>
        </w:rPr>
        <w:t>b.</w:t>
      </w:r>
      <w:r>
        <w:rPr>
          <w:sz w:val="24"/>
          <w:szCs w:val="24"/>
        </w:rPr>
        <w:tab/>
      </w:r>
      <w:r w:rsidR="001543E4" w:rsidRPr="00BD595B">
        <w:rPr>
          <w:sz w:val="24"/>
          <w:szCs w:val="24"/>
        </w:rPr>
        <w:t>Harrow Development Management Policies Local Plan (2013)</w:t>
      </w:r>
    </w:p>
    <w:p w14:paraId="598A53D1" w14:textId="372C162D" w:rsidR="001543E4" w:rsidRPr="008F0830" w:rsidRDefault="008F0830" w:rsidP="008F0830">
      <w:pPr>
        <w:pStyle w:val="ListParagraph"/>
        <w:spacing w:after="160" w:line="259" w:lineRule="auto"/>
        <w:ind w:left="1080"/>
        <w:contextualSpacing/>
        <w:jc w:val="both"/>
        <w:rPr>
          <w:sz w:val="24"/>
          <w:szCs w:val="24"/>
        </w:rPr>
      </w:pPr>
      <w:r>
        <w:rPr>
          <w:sz w:val="24"/>
          <w:szCs w:val="24"/>
        </w:rPr>
        <w:t>c.</w:t>
      </w:r>
      <w:r>
        <w:rPr>
          <w:sz w:val="24"/>
          <w:szCs w:val="24"/>
        </w:rPr>
        <w:tab/>
      </w:r>
      <w:r w:rsidR="001543E4" w:rsidRPr="008F0830">
        <w:rPr>
          <w:sz w:val="24"/>
          <w:szCs w:val="24"/>
        </w:rPr>
        <w:t>Harrow &amp; Wealdstone Area Action Plan (2013)</w:t>
      </w:r>
    </w:p>
    <w:p w14:paraId="2ABE6F3D" w14:textId="6BE0F36B" w:rsidR="001543E4" w:rsidRPr="00BD595B" w:rsidRDefault="001543E4" w:rsidP="008F0830">
      <w:pPr>
        <w:pStyle w:val="ListParagraph"/>
        <w:numPr>
          <w:ilvl w:val="0"/>
          <w:numId w:val="20"/>
        </w:numPr>
        <w:spacing w:after="160" w:line="259" w:lineRule="auto"/>
        <w:contextualSpacing/>
        <w:jc w:val="both"/>
        <w:rPr>
          <w:sz w:val="24"/>
          <w:szCs w:val="24"/>
        </w:rPr>
      </w:pPr>
      <w:r w:rsidRPr="00BD595B">
        <w:rPr>
          <w:sz w:val="24"/>
          <w:szCs w:val="24"/>
        </w:rPr>
        <w:t>Site allocations DPD (2013)</w:t>
      </w:r>
    </w:p>
    <w:p w14:paraId="2961067B" w14:textId="0D182181" w:rsidR="001543E4" w:rsidRPr="005B3339" w:rsidRDefault="001543E4" w:rsidP="005B3339">
      <w:pPr>
        <w:pStyle w:val="ListParagraph"/>
        <w:numPr>
          <w:ilvl w:val="0"/>
          <w:numId w:val="20"/>
        </w:numPr>
        <w:spacing w:after="160" w:line="259" w:lineRule="auto"/>
        <w:contextualSpacing/>
        <w:jc w:val="both"/>
        <w:rPr>
          <w:sz w:val="24"/>
          <w:szCs w:val="24"/>
        </w:rPr>
      </w:pPr>
      <w:r w:rsidRPr="00BD595B">
        <w:rPr>
          <w:sz w:val="24"/>
          <w:szCs w:val="24"/>
        </w:rPr>
        <w:t>Policies Map</w:t>
      </w:r>
      <w:r w:rsidR="0086523A">
        <w:rPr>
          <w:sz w:val="24"/>
          <w:szCs w:val="24"/>
        </w:rPr>
        <w:t>s</w:t>
      </w:r>
      <w:r w:rsidR="00497971">
        <w:rPr>
          <w:sz w:val="24"/>
          <w:szCs w:val="24"/>
        </w:rPr>
        <w:t xml:space="preserve"> (2013)</w:t>
      </w:r>
    </w:p>
    <w:p w14:paraId="0A426CEF" w14:textId="079FF350" w:rsidR="001543E4" w:rsidRPr="00767ED2" w:rsidRDefault="00962C5B" w:rsidP="001543E4">
      <w:pPr>
        <w:autoSpaceDE w:val="0"/>
        <w:autoSpaceDN w:val="0"/>
        <w:adjustRightInd w:val="0"/>
        <w:ind w:left="720" w:hanging="720"/>
        <w:jc w:val="both"/>
        <w:rPr>
          <w:rFonts w:cs="Arial"/>
        </w:rPr>
      </w:pPr>
      <w:r>
        <w:rPr>
          <w:rFonts w:cs="Arial"/>
        </w:rPr>
        <w:t>6</w:t>
      </w:r>
      <w:r w:rsidR="001543E4" w:rsidRPr="00767ED2">
        <w:rPr>
          <w:rFonts w:cs="Arial"/>
        </w:rPr>
        <w:t>.</w:t>
      </w:r>
      <w:r w:rsidR="001543E4">
        <w:rPr>
          <w:rFonts w:cs="Arial"/>
        </w:rPr>
        <w:t>2</w:t>
      </w:r>
      <w:r w:rsidR="001543E4" w:rsidRPr="00767ED2">
        <w:rPr>
          <w:rFonts w:cs="Arial"/>
        </w:rPr>
        <w:tab/>
        <w:t>Policy CS1B</w:t>
      </w:r>
      <w:r w:rsidR="001543E4">
        <w:rPr>
          <w:rFonts w:cs="Arial"/>
        </w:rPr>
        <w:t xml:space="preserve"> of the Harrow Core Strategy (2012)</w:t>
      </w:r>
      <w:r w:rsidR="001543E4" w:rsidRPr="00767ED2">
        <w:rPr>
          <w:rFonts w:cs="Arial"/>
        </w:rPr>
        <w:t xml:space="preserve"> states that proposals that would harm the character of suburban areas and garden development will be resisted. All development shall respond positively to the local and historic context in terms of design, siting, density and spacing, reinforce the positive attributes of local distinctiveness whilst promoting innovative design and/or enhancing areas of poor design; extensions should respect their host building.</w:t>
      </w:r>
    </w:p>
    <w:p w14:paraId="3159D4E8" w14:textId="77777777" w:rsidR="001543E4" w:rsidRDefault="001543E4" w:rsidP="001543E4">
      <w:pPr>
        <w:jc w:val="both"/>
        <w:rPr>
          <w:rFonts w:cs="Arial"/>
        </w:rPr>
      </w:pPr>
    </w:p>
    <w:p w14:paraId="141C8E53" w14:textId="7FAE2B56" w:rsidR="009C4E45" w:rsidRDefault="00962C5B" w:rsidP="003E32FA">
      <w:pPr>
        <w:keepNext/>
        <w:ind w:left="720" w:hanging="720"/>
        <w:jc w:val="both"/>
        <w:rPr>
          <w:rFonts w:cs="Arial"/>
        </w:rPr>
      </w:pPr>
      <w:r>
        <w:rPr>
          <w:rFonts w:cs="Arial"/>
        </w:rPr>
        <w:t>6</w:t>
      </w:r>
      <w:r w:rsidR="001543E4" w:rsidRPr="00767ED2">
        <w:rPr>
          <w:rFonts w:cs="Arial"/>
        </w:rPr>
        <w:t>.</w:t>
      </w:r>
      <w:r w:rsidR="001543E4">
        <w:rPr>
          <w:rFonts w:cs="Arial"/>
        </w:rPr>
        <w:t>3</w:t>
      </w:r>
      <w:r w:rsidR="001543E4" w:rsidRPr="00767ED2">
        <w:rPr>
          <w:rFonts w:cs="Arial"/>
        </w:rPr>
        <w:tab/>
        <w:t xml:space="preserve">The Harrow Development Management Policies Local Plan (2013) (HDMPLP (2013)) has </w:t>
      </w:r>
      <w:proofErr w:type="gramStart"/>
      <w:r w:rsidR="001543E4" w:rsidRPr="00767ED2">
        <w:rPr>
          <w:rFonts w:cs="Arial"/>
        </w:rPr>
        <w:t xml:space="preserve">a </w:t>
      </w:r>
      <w:r w:rsidR="00497971">
        <w:rPr>
          <w:rFonts w:cs="Arial"/>
        </w:rPr>
        <w:t>number of</w:t>
      </w:r>
      <w:proofErr w:type="gramEnd"/>
      <w:r w:rsidR="00497971">
        <w:rPr>
          <w:rFonts w:cs="Arial"/>
        </w:rPr>
        <w:t xml:space="preserve"> </w:t>
      </w:r>
      <w:r w:rsidR="00142B84">
        <w:rPr>
          <w:rFonts w:cs="Arial"/>
        </w:rPr>
        <w:t xml:space="preserve">policies that </w:t>
      </w:r>
      <w:r w:rsidR="00B63605">
        <w:rPr>
          <w:rFonts w:cs="Arial"/>
        </w:rPr>
        <w:t xml:space="preserve">are relevant </w:t>
      </w:r>
      <w:r w:rsidR="00142B84">
        <w:rPr>
          <w:rFonts w:cs="Arial"/>
        </w:rPr>
        <w:t xml:space="preserve">to </w:t>
      </w:r>
      <w:r w:rsidR="009C4E45">
        <w:rPr>
          <w:rFonts w:cs="Arial"/>
        </w:rPr>
        <w:t>flat</w:t>
      </w:r>
      <w:r w:rsidR="00142B84">
        <w:rPr>
          <w:rFonts w:cs="Arial"/>
        </w:rPr>
        <w:t xml:space="preserve"> </w:t>
      </w:r>
      <w:r w:rsidR="009C4E45">
        <w:rPr>
          <w:rFonts w:cs="Arial"/>
        </w:rPr>
        <w:t>conversions</w:t>
      </w:r>
      <w:r w:rsidR="00142B84">
        <w:rPr>
          <w:rFonts w:cs="Arial"/>
        </w:rPr>
        <w:t xml:space="preserve"> and also for appropriate </w:t>
      </w:r>
      <w:r w:rsidR="009C4E45">
        <w:rPr>
          <w:rFonts w:cs="Arial"/>
        </w:rPr>
        <w:t>extensions</w:t>
      </w:r>
      <w:r w:rsidR="00142B84">
        <w:rPr>
          <w:rFonts w:cs="Arial"/>
        </w:rPr>
        <w:t xml:space="preserve"> to dwellings. </w:t>
      </w:r>
    </w:p>
    <w:p w14:paraId="018052BB" w14:textId="77777777" w:rsidR="009C4E45" w:rsidRDefault="009C4E45" w:rsidP="003E32FA">
      <w:pPr>
        <w:keepNext/>
        <w:ind w:left="720" w:hanging="720"/>
        <w:jc w:val="both"/>
        <w:rPr>
          <w:rFonts w:cs="Arial"/>
        </w:rPr>
      </w:pPr>
    </w:p>
    <w:p w14:paraId="16754864" w14:textId="77777777" w:rsidR="009C4E45" w:rsidRPr="00ED23EA" w:rsidRDefault="009C4E45" w:rsidP="009C4E45">
      <w:pPr>
        <w:pStyle w:val="ListParagraph"/>
        <w:numPr>
          <w:ilvl w:val="0"/>
          <w:numId w:val="22"/>
        </w:numPr>
        <w:jc w:val="both"/>
        <w:rPr>
          <w:sz w:val="24"/>
          <w:szCs w:val="24"/>
        </w:rPr>
      </w:pPr>
      <w:r w:rsidRPr="00ED23EA">
        <w:rPr>
          <w:sz w:val="24"/>
          <w:szCs w:val="24"/>
        </w:rPr>
        <w:t xml:space="preserve">DM1 (Achieving a High Standard of Development), </w:t>
      </w:r>
    </w:p>
    <w:p w14:paraId="739BEBE9" w14:textId="77777777" w:rsidR="009C4E45" w:rsidRPr="00ED23EA" w:rsidRDefault="009C4E45" w:rsidP="009C4E45">
      <w:pPr>
        <w:pStyle w:val="ListParagraph"/>
        <w:numPr>
          <w:ilvl w:val="0"/>
          <w:numId w:val="22"/>
        </w:numPr>
        <w:jc w:val="both"/>
        <w:rPr>
          <w:sz w:val="24"/>
          <w:szCs w:val="24"/>
        </w:rPr>
      </w:pPr>
      <w:r w:rsidRPr="00ED23EA">
        <w:rPr>
          <w:sz w:val="24"/>
          <w:szCs w:val="24"/>
        </w:rPr>
        <w:t>DM23 (</w:t>
      </w:r>
      <w:proofErr w:type="spellStart"/>
      <w:r w:rsidRPr="00ED23EA">
        <w:rPr>
          <w:sz w:val="24"/>
          <w:szCs w:val="24"/>
        </w:rPr>
        <w:t>Streetscene</w:t>
      </w:r>
      <w:proofErr w:type="spellEnd"/>
      <w:r w:rsidRPr="00ED23EA">
        <w:rPr>
          <w:sz w:val="24"/>
          <w:szCs w:val="24"/>
        </w:rPr>
        <w:t xml:space="preserve"> Greenness and Forecourt Greenery)</w:t>
      </w:r>
    </w:p>
    <w:p w14:paraId="12A528A4" w14:textId="066C47F2" w:rsidR="009C4E45" w:rsidRPr="00ED23EA" w:rsidRDefault="009C4E45" w:rsidP="009C4E45">
      <w:pPr>
        <w:pStyle w:val="ListParagraph"/>
        <w:numPr>
          <w:ilvl w:val="0"/>
          <w:numId w:val="22"/>
        </w:numPr>
        <w:jc w:val="both"/>
        <w:rPr>
          <w:sz w:val="24"/>
          <w:szCs w:val="24"/>
        </w:rPr>
      </w:pPr>
      <w:r w:rsidRPr="00ED23EA">
        <w:rPr>
          <w:sz w:val="24"/>
          <w:szCs w:val="24"/>
        </w:rPr>
        <w:t xml:space="preserve">DM24 (Housing Mix) </w:t>
      </w:r>
    </w:p>
    <w:p w14:paraId="6D7821EB" w14:textId="2AE0FB5B" w:rsidR="009C4E45" w:rsidRPr="00ED23EA" w:rsidRDefault="009C4E45" w:rsidP="009C4E45">
      <w:pPr>
        <w:pStyle w:val="ListParagraph"/>
        <w:numPr>
          <w:ilvl w:val="0"/>
          <w:numId w:val="22"/>
        </w:numPr>
        <w:jc w:val="both"/>
        <w:rPr>
          <w:sz w:val="24"/>
          <w:szCs w:val="24"/>
        </w:rPr>
      </w:pPr>
      <w:r w:rsidRPr="00ED23EA">
        <w:rPr>
          <w:sz w:val="24"/>
          <w:szCs w:val="24"/>
        </w:rPr>
        <w:t xml:space="preserve">DM26 </w:t>
      </w:r>
      <w:r w:rsidR="0093155E">
        <w:rPr>
          <w:sz w:val="24"/>
          <w:szCs w:val="24"/>
        </w:rPr>
        <w:t>(</w:t>
      </w:r>
      <w:r w:rsidRPr="00ED23EA">
        <w:rPr>
          <w:sz w:val="24"/>
          <w:szCs w:val="24"/>
        </w:rPr>
        <w:t>Conversion of Houses and other Residential Premises).</w:t>
      </w:r>
    </w:p>
    <w:p w14:paraId="4D41F257" w14:textId="0419D11E" w:rsidR="009C4E45" w:rsidRPr="00ED23EA" w:rsidRDefault="009C4E45" w:rsidP="009C4E45">
      <w:pPr>
        <w:pStyle w:val="ListParagraph"/>
        <w:numPr>
          <w:ilvl w:val="0"/>
          <w:numId w:val="22"/>
        </w:numPr>
        <w:jc w:val="both"/>
        <w:rPr>
          <w:sz w:val="24"/>
          <w:szCs w:val="24"/>
        </w:rPr>
      </w:pPr>
      <w:r w:rsidRPr="00ED23EA">
        <w:rPr>
          <w:sz w:val="24"/>
          <w:szCs w:val="24"/>
        </w:rPr>
        <w:t>DM27 (Amenity Space)</w:t>
      </w:r>
    </w:p>
    <w:p w14:paraId="4A323FCC" w14:textId="77777777" w:rsidR="00BA01A8" w:rsidRPr="00767ED2" w:rsidRDefault="00BA01A8" w:rsidP="00ED23EA">
      <w:pPr>
        <w:jc w:val="both"/>
        <w:rPr>
          <w:rFonts w:cs="Arial"/>
        </w:rPr>
      </w:pPr>
    </w:p>
    <w:p w14:paraId="119B4CDE" w14:textId="5B912DA8" w:rsidR="001543E4" w:rsidRDefault="00BA01A8" w:rsidP="001543E4">
      <w:pPr>
        <w:ind w:left="720" w:hanging="720"/>
        <w:jc w:val="both"/>
        <w:rPr>
          <w:rFonts w:cs="Arial"/>
        </w:rPr>
      </w:pPr>
      <w:r>
        <w:rPr>
          <w:rFonts w:cs="Arial"/>
        </w:rPr>
        <w:lastRenderedPageBreak/>
        <w:t>6</w:t>
      </w:r>
      <w:r w:rsidR="001543E4" w:rsidRPr="00767ED2">
        <w:rPr>
          <w:rFonts w:cs="Arial"/>
        </w:rPr>
        <w:t>.</w:t>
      </w:r>
      <w:r w:rsidR="001543E4">
        <w:rPr>
          <w:rFonts w:cs="Arial"/>
        </w:rPr>
        <w:t>4</w:t>
      </w:r>
      <w:r w:rsidR="001543E4" w:rsidRPr="00767ED2">
        <w:rPr>
          <w:rFonts w:cs="Arial"/>
        </w:rPr>
        <w:tab/>
      </w:r>
      <w:r w:rsidR="0065724E">
        <w:rPr>
          <w:rFonts w:cs="Arial"/>
        </w:rPr>
        <w:t>The</w:t>
      </w:r>
      <w:r w:rsidR="001543E4" w:rsidRPr="00767ED2">
        <w:rPr>
          <w:rFonts w:cs="Arial"/>
        </w:rPr>
        <w:t xml:space="preserve"> policies identified </w:t>
      </w:r>
      <w:r w:rsidR="0065724E">
        <w:rPr>
          <w:rFonts w:cs="Arial"/>
        </w:rPr>
        <w:t xml:space="preserve">above </w:t>
      </w:r>
      <w:r w:rsidR="001543E4" w:rsidRPr="00767ED2">
        <w:rPr>
          <w:rFonts w:cs="Arial"/>
        </w:rPr>
        <w:t xml:space="preserve">provide a sound policy basis for </w:t>
      </w:r>
      <w:proofErr w:type="gramStart"/>
      <w:r w:rsidR="001543E4" w:rsidRPr="00767ED2">
        <w:rPr>
          <w:rFonts w:cs="Arial"/>
        </w:rPr>
        <w:t>a</w:t>
      </w:r>
      <w:proofErr w:type="gramEnd"/>
      <w:r w:rsidR="001543E4" w:rsidRPr="00767ED2">
        <w:rPr>
          <w:rFonts w:cs="Arial"/>
        </w:rPr>
        <w:t xml:space="preserve"> SPD to provide further guidance in relation to </w:t>
      </w:r>
      <w:r w:rsidR="00AB6E5E">
        <w:rPr>
          <w:rFonts w:cs="Arial"/>
        </w:rPr>
        <w:t>residential</w:t>
      </w:r>
      <w:r w:rsidR="00AB6E5E" w:rsidRPr="00767ED2">
        <w:rPr>
          <w:rFonts w:cs="Arial"/>
        </w:rPr>
        <w:t xml:space="preserve"> </w:t>
      </w:r>
      <w:r w:rsidR="001543E4" w:rsidRPr="00767ED2">
        <w:rPr>
          <w:rFonts w:cs="Arial"/>
        </w:rPr>
        <w:t>conversions</w:t>
      </w:r>
      <w:r w:rsidR="00A24ED5">
        <w:rPr>
          <w:rFonts w:cs="Arial"/>
        </w:rPr>
        <w:t xml:space="preserve">. </w:t>
      </w:r>
      <w:r w:rsidR="001543E4" w:rsidRPr="00767ED2">
        <w:rPr>
          <w:rFonts w:cs="Arial"/>
        </w:rPr>
        <w:t xml:space="preserve">Whilst any </w:t>
      </w:r>
      <w:r w:rsidR="001543E4">
        <w:rPr>
          <w:rFonts w:cs="Arial"/>
        </w:rPr>
        <w:t>SPD</w:t>
      </w:r>
      <w:r w:rsidR="001543E4" w:rsidRPr="00767ED2">
        <w:rPr>
          <w:rFonts w:cs="Arial"/>
        </w:rPr>
        <w:t xml:space="preserve"> will be providing further guidance to the polices noted here, proposals will still need to be considered against the development plan, which includes the London Plan (2021) and its relevant policies</w:t>
      </w:r>
      <w:r w:rsidR="001543E4">
        <w:rPr>
          <w:rFonts w:cs="Arial"/>
        </w:rPr>
        <w:t xml:space="preserve">. </w:t>
      </w:r>
    </w:p>
    <w:p w14:paraId="7EDB739D" w14:textId="32814448" w:rsidR="001543E4" w:rsidRPr="00C034D9" w:rsidRDefault="001543E4" w:rsidP="008643B7">
      <w:pPr>
        <w:spacing w:after="160" w:line="259" w:lineRule="auto"/>
        <w:contextualSpacing/>
        <w:jc w:val="both"/>
      </w:pPr>
    </w:p>
    <w:p w14:paraId="43EF5116" w14:textId="6B917AB1" w:rsidR="001543E4" w:rsidRDefault="00BA01A8" w:rsidP="001543E4">
      <w:pPr>
        <w:ind w:left="720" w:hanging="720"/>
        <w:jc w:val="both"/>
        <w:rPr>
          <w:rFonts w:cs="Arial"/>
        </w:rPr>
      </w:pPr>
      <w:r>
        <w:rPr>
          <w:rFonts w:cs="Arial"/>
        </w:rPr>
        <w:t>6</w:t>
      </w:r>
      <w:r w:rsidR="001543E4">
        <w:rPr>
          <w:rFonts w:cs="Arial"/>
        </w:rPr>
        <w:t>.5</w:t>
      </w:r>
      <w:r w:rsidR="001543E4">
        <w:rPr>
          <w:rFonts w:cs="Arial"/>
        </w:rPr>
        <w:tab/>
        <w:t xml:space="preserve">Whilst each of the policies noted provide a clear policy direction and a useful explanatory text, more detailed guidance including visual aids would be more helpful to assist improving the design quality of </w:t>
      </w:r>
      <w:r w:rsidR="00AB6E5E">
        <w:rPr>
          <w:rFonts w:cs="Arial"/>
        </w:rPr>
        <w:t xml:space="preserve">residential </w:t>
      </w:r>
      <w:r w:rsidR="001543E4">
        <w:rPr>
          <w:rFonts w:cs="Arial"/>
        </w:rPr>
        <w:t xml:space="preserve">conversions across the borough. Guidance set out in </w:t>
      </w:r>
      <w:proofErr w:type="gramStart"/>
      <w:r w:rsidR="001543E4">
        <w:rPr>
          <w:rFonts w:cs="Arial"/>
        </w:rPr>
        <w:t>a</w:t>
      </w:r>
      <w:proofErr w:type="gramEnd"/>
      <w:r w:rsidR="001543E4">
        <w:rPr>
          <w:rFonts w:cs="Arial"/>
        </w:rPr>
        <w:t xml:space="preserve"> SPD will provide nuanced guidance for flat conversions with appropriate visuals to demonstrate good quality design examples. Conversely, visually the SPD will set out examples of poor design that would not be supported</w:t>
      </w:r>
      <w:r w:rsidR="00BA78CE">
        <w:rPr>
          <w:rFonts w:cs="Arial"/>
        </w:rPr>
        <w:t xml:space="preserve"> by the Council</w:t>
      </w:r>
      <w:r w:rsidR="001543E4">
        <w:rPr>
          <w:rFonts w:cs="Arial"/>
        </w:rPr>
        <w:t xml:space="preserve">. </w:t>
      </w:r>
    </w:p>
    <w:p w14:paraId="76CB6A7E" w14:textId="77777777" w:rsidR="000249D0" w:rsidRDefault="000249D0" w:rsidP="001543E4">
      <w:pPr>
        <w:ind w:left="720" w:hanging="720"/>
        <w:jc w:val="both"/>
        <w:rPr>
          <w:rFonts w:cs="Arial"/>
        </w:rPr>
      </w:pPr>
    </w:p>
    <w:p w14:paraId="4F0686FE" w14:textId="5A892BB9" w:rsidR="001543E4" w:rsidRDefault="009078D9" w:rsidP="001543E4">
      <w:pPr>
        <w:ind w:left="720" w:hanging="720"/>
        <w:jc w:val="both"/>
        <w:rPr>
          <w:rFonts w:cs="Arial"/>
        </w:rPr>
      </w:pPr>
      <w:r>
        <w:rPr>
          <w:rFonts w:cs="Arial"/>
        </w:rPr>
        <w:t>6</w:t>
      </w:r>
      <w:r w:rsidR="001543E4">
        <w:rPr>
          <w:rFonts w:cs="Arial"/>
        </w:rPr>
        <w:t>.6</w:t>
      </w:r>
      <w:r w:rsidR="001543E4">
        <w:rPr>
          <w:rFonts w:cs="Arial"/>
        </w:rPr>
        <w:tab/>
        <w:t xml:space="preserve">Whilst the SPD would be providing guidance to the existing local plan (policies </w:t>
      </w:r>
      <w:r w:rsidR="00793D62">
        <w:rPr>
          <w:rFonts w:cs="Arial"/>
        </w:rPr>
        <w:t xml:space="preserve">noted </w:t>
      </w:r>
      <w:r w:rsidR="001543E4">
        <w:rPr>
          <w:rFonts w:cs="Arial"/>
        </w:rPr>
        <w:t xml:space="preserve">above), the guidance would also need to be flexible enough to reflect any new policies within the </w:t>
      </w:r>
      <w:r w:rsidR="00E025E2">
        <w:rPr>
          <w:rFonts w:cs="Arial"/>
        </w:rPr>
        <w:t xml:space="preserve">new </w:t>
      </w:r>
      <w:r w:rsidR="001543E4">
        <w:rPr>
          <w:rFonts w:cs="Arial"/>
        </w:rPr>
        <w:t xml:space="preserve">local plan which will be forthcoming.  </w:t>
      </w:r>
    </w:p>
    <w:p w14:paraId="24CCD9DE" w14:textId="77777777" w:rsidR="009078D9" w:rsidRDefault="009078D9" w:rsidP="001543E4">
      <w:pPr>
        <w:ind w:left="720" w:hanging="720"/>
        <w:jc w:val="both"/>
        <w:rPr>
          <w:rFonts w:cs="Arial"/>
        </w:rPr>
      </w:pPr>
    </w:p>
    <w:p w14:paraId="6C5ABA6A" w14:textId="471CD163" w:rsidR="001543E4" w:rsidRPr="00CA784C" w:rsidRDefault="009078D9" w:rsidP="003E32FA">
      <w:pPr>
        <w:keepNext/>
        <w:ind w:left="720" w:hanging="720"/>
        <w:jc w:val="both"/>
        <w:rPr>
          <w:rFonts w:cs="Arial"/>
          <w:b/>
          <w:bCs/>
          <w:sz w:val="28"/>
          <w:szCs w:val="28"/>
        </w:rPr>
      </w:pPr>
      <w:r w:rsidRPr="00CA784C">
        <w:rPr>
          <w:rFonts w:cs="Arial"/>
          <w:b/>
          <w:bCs/>
          <w:sz w:val="28"/>
          <w:szCs w:val="28"/>
        </w:rPr>
        <w:t>7</w:t>
      </w:r>
      <w:r w:rsidR="001543E4" w:rsidRPr="00CA784C">
        <w:rPr>
          <w:rFonts w:cs="Arial"/>
          <w:b/>
          <w:bCs/>
          <w:sz w:val="28"/>
          <w:szCs w:val="28"/>
        </w:rPr>
        <w:t>.0</w:t>
      </w:r>
      <w:r w:rsidR="001543E4" w:rsidRPr="00CA784C">
        <w:rPr>
          <w:rFonts w:cs="Arial"/>
          <w:b/>
          <w:bCs/>
          <w:sz w:val="28"/>
          <w:szCs w:val="28"/>
        </w:rPr>
        <w:tab/>
      </w:r>
      <w:r w:rsidR="00780EFC" w:rsidRPr="00CA784C">
        <w:rPr>
          <w:rFonts w:cs="Arial"/>
          <w:b/>
          <w:bCs/>
          <w:sz w:val="28"/>
          <w:szCs w:val="28"/>
        </w:rPr>
        <w:t xml:space="preserve">Residential </w:t>
      </w:r>
      <w:r w:rsidR="001543E4" w:rsidRPr="00CA784C">
        <w:rPr>
          <w:rFonts w:cs="Arial"/>
          <w:b/>
          <w:bCs/>
          <w:sz w:val="28"/>
          <w:szCs w:val="28"/>
        </w:rPr>
        <w:t xml:space="preserve">Conversion Chapter – Small Sites Design Code Supplementary Planning Document </w:t>
      </w:r>
    </w:p>
    <w:p w14:paraId="129ECD24" w14:textId="77777777" w:rsidR="001543E4" w:rsidRPr="00CA1697" w:rsidRDefault="001543E4" w:rsidP="003E32FA">
      <w:pPr>
        <w:keepNext/>
        <w:ind w:left="720" w:hanging="720"/>
        <w:jc w:val="both"/>
        <w:rPr>
          <w:rFonts w:cs="Arial"/>
          <w:b/>
          <w:bCs/>
          <w:u w:val="single"/>
        </w:rPr>
      </w:pPr>
    </w:p>
    <w:p w14:paraId="6FAE7335" w14:textId="38B3E921" w:rsidR="001543E4" w:rsidRDefault="009078D9" w:rsidP="001543E4">
      <w:pPr>
        <w:ind w:left="720" w:hanging="720"/>
        <w:jc w:val="both"/>
        <w:rPr>
          <w:rFonts w:cs="Arial"/>
        </w:rPr>
      </w:pPr>
      <w:r>
        <w:rPr>
          <w:rFonts w:cs="Arial"/>
        </w:rPr>
        <w:t>7</w:t>
      </w:r>
      <w:r w:rsidR="001543E4" w:rsidRPr="008669FB">
        <w:rPr>
          <w:rFonts w:cs="Arial"/>
        </w:rPr>
        <w:t>.1</w:t>
      </w:r>
      <w:r w:rsidR="001543E4" w:rsidRPr="008669FB">
        <w:rPr>
          <w:rFonts w:cs="Arial"/>
        </w:rPr>
        <w:tab/>
      </w:r>
      <w:r w:rsidR="001543E4">
        <w:rPr>
          <w:rFonts w:cs="Arial"/>
        </w:rPr>
        <w:t xml:space="preserve">As set out above, there are sufficient policies within the current Development Plan that relate to the conversion of </w:t>
      </w:r>
      <w:r w:rsidR="00DA6FAE">
        <w:rPr>
          <w:rFonts w:cs="Arial"/>
        </w:rPr>
        <w:t xml:space="preserve">single </w:t>
      </w:r>
      <w:r w:rsidR="00DA6FAE" w:rsidRPr="003B4D8E">
        <w:rPr>
          <w:rFonts w:cs="Arial"/>
        </w:rPr>
        <w:t xml:space="preserve">dwellings to multiple </w:t>
      </w:r>
      <w:r w:rsidR="00DA6FAE">
        <w:rPr>
          <w:rFonts w:cs="Arial"/>
        </w:rPr>
        <w:t>flats</w:t>
      </w:r>
      <w:r w:rsidR="001543E4">
        <w:rPr>
          <w:rFonts w:cs="Arial"/>
        </w:rPr>
        <w:t xml:space="preserve">, and also in relation to design and character of developments, that allow further guidance through </w:t>
      </w:r>
      <w:proofErr w:type="gramStart"/>
      <w:r w:rsidR="001543E4">
        <w:rPr>
          <w:rFonts w:cs="Arial"/>
        </w:rPr>
        <w:t>a</w:t>
      </w:r>
      <w:proofErr w:type="gramEnd"/>
      <w:r w:rsidR="001543E4">
        <w:rPr>
          <w:rFonts w:cs="Arial"/>
        </w:rPr>
        <w:t xml:space="preserve"> SPD to be progressed. It is expected that any new principles/guidance (over and above the borough wide design principles) would be limited. </w:t>
      </w:r>
      <w:r w:rsidR="0096356F">
        <w:rPr>
          <w:rFonts w:cs="Arial"/>
        </w:rPr>
        <w:t>This approach wo</w:t>
      </w:r>
      <w:r w:rsidR="0002336B">
        <w:rPr>
          <w:rFonts w:cs="Arial"/>
        </w:rPr>
        <w:t>u</w:t>
      </w:r>
      <w:r w:rsidR="0096356F">
        <w:rPr>
          <w:rFonts w:cs="Arial"/>
        </w:rPr>
        <w:t>l</w:t>
      </w:r>
      <w:r w:rsidR="0002336B">
        <w:rPr>
          <w:rFonts w:cs="Arial"/>
        </w:rPr>
        <w:t>d</w:t>
      </w:r>
      <w:r w:rsidR="0096356F">
        <w:rPr>
          <w:rFonts w:cs="Arial"/>
        </w:rPr>
        <w:t xml:space="preserve"> not only build upon previously consulted upon brough wide design principles, </w:t>
      </w:r>
      <w:proofErr w:type="gramStart"/>
      <w:r w:rsidR="00325384">
        <w:rPr>
          <w:rFonts w:cs="Arial"/>
        </w:rPr>
        <w:t>it</w:t>
      </w:r>
      <w:proofErr w:type="gramEnd"/>
      <w:r w:rsidR="00325384">
        <w:rPr>
          <w:rFonts w:cs="Arial"/>
        </w:rPr>
        <w:t xml:space="preserve"> would also seek to address specific feedback on the impacts of such </w:t>
      </w:r>
      <w:r w:rsidR="0002336B">
        <w:rPr>
          <w:rFonts w:cs="Arial"/>
        </w:rPr>
        <w:t>developments</w:t>
      </w:r>
      <w:r w:rsidR="00325384">
        <w:rPr>
          <w:rFonts w:cs="Arial"/>
        </w:rPr>
        <w:t xml:space="preserve"> that were made </w:t>
      </w:r>
      <w:r w:rsidR="0047007E">
        <w:rPr>
          <w:rFonts w:cs="Arial"/>
        </w:rPr>
        <w:t xml:space="preserve">during </w:t>
      </w:r>
      <w:r w:rsidR="00325384">
        <w:rPr>
          <w:rFonts w:cs="Arial"/>
        </w:rPr>
        <w:t>the consu</w:t>
      </w:r>
      <w:r w:rsidR="0002336B">
        <w:rPr>
          <w:rFonts w:cs="Arial"/>
        </w:rPr>
        <w:t>ltation process.</w:t>
      </w:r>
    </w:p>
    <w:p w14:paraId="32E8FB91" w14:textId="77777777" w:rsidR="00B705DF" w:rsidRDefault="00B705DF" w:rsidP="001543E4">
      <w:pPr>
        <w:ind w:left="720" w:hanging="720"/>
        <w:jc w:val="both"/>
        <w:rPr>
          <w:rFonts w:cs="Arial"/>
        </w:rPr>
      </w:pPr>
    </w:p>
    <w:p w14:paraId="3257BCB0" w14:textId="37998AD2" w:rsidR="00B705DF" w:rsidRDefault="004B02F3" w:rsidP="00B0105E">
      <w:pPr>
        <w:ind w:left="720" w:hanging="720"/>
        <w:jc w:val="both"/>
        <w:rPr>
          <w:rFonts w:cs="Arial"/>
        </w:rPr>
      </w:pPr>
      <w:r>
        <w:rPr>
          <w:rFonts w:cs="Arial"/>
        </w:rPr>
        <w:t>7</w:t>
      </w:r>
      <w:r w:rsidR="001543E4">
        <w:rPr>
          <w:rFonts w:cs="Arial"/>
        </w:rPr>
        <w:t>.2</w:t>
      </w:r>
      <w:r w:rsidR="001543E4">
        <w:rPr>
          <w:rFonts w:cs="Arial"/>
        </w:rPr>
        <w:tab/>
      </w:r>
      <w:r w:rsidR="00FF16C4">
        <w:rPr>
          <w:rFonts w:cs="Arial"/>
        </w:rPr>
        <w:t xml:space="preserve">Appendix A sets out the </w:t>
      </w:r>
      <w:r w:rsidR="000606B4">
        <w:rPr>
          <w:rFonts w:cs="Arial"/>
        </w:rPr>
        <w:t xml:space="preserve">existing </w:t>
      </w:r>
      <w:r w:rsidR="00FF16C4">
        <w:rPr>
          <w:rFonts w:cs="Arial"/>
        </w:rPr>
        <w:t xml:space="preserve">relevant </w:t>
      </w:r>
      <w:r w:rsidR="003D615B">
        <w:rPr>
          <w:rFonts w:cs="Arial"/>
        </w:rPr>
        <w:t>borough</w:t>
      </w:r>
      <w:r w:rsidR="00FF16C4">
        <w:rPr>
          <w:rFonts w:cs="Arial"/>
        </w:rPr>
        <w:t xml:space="preserve"> wide design </w:t>
      </w:r>
      <w:r w:rsidR="003D615B">
        <w:rPr>
          <w:rFonts w:cs="Arial"/>
        </w:rPr>
        <w:t xml:space="preserve">principles, </w:t>
      </w:r>
      <w:r w:rsidR="00716D02">
        <w:rPr>
          <w:rFonts w:cs="Arial"/>
        </w:rPr>
        <w:t xml:space="preserve">which are listed </w:t>
      </w:r>
      <w:r w:rsidR="00716D02" w:rsidRPr="00333C24">
        <w:rPr>
          <w:rFonts w:cs="Arial"/>
        </w:rPr>
        <w:t xml:space="preserve">as </w:t>
      </w:r>
      <w:r w:rsidR="00492D1F" w:rsidRPr="00492D1F">
        <w:rPr>
          <w:rFonts w:cs="Arial"/>
        </w:rPr>
        <w:t>A</w:t>
      </w:r>
      <w:r w:rsidR="00716D02" w:rsidRPr="00492D1F">
        <w:rPr>
          <w:rFonts w:cs="Arial"/>
        </w:rPr>
        <w:t xml:space="preserve"> through to </w:t>
      </w:r>
      <w:r w:rsidR="00492D1F" w:rsidRPr="00492D1F">
        <w:rPr>
          <w:rFonts w:cs="Arial"/>
        </w:rPr>
        <w:t>H (inclusive)</w:t>
      </w:r>
      <w:r w:rsidR="00716D02" w:rsidRPr="00492D1F">
        <w:rPr>
          <w:rFonts w:cs="Arial"/>
        </w:rPr>
        <w:t>.</w:t>
      </w:r>
      <w:r w:rsidR="00716D02">
        <w:rPr>
          <w:rFonts w:cs="Arial"/>
        </w:rPr>
        <w:t xml:space="preserve"> </w:t>
      </w:r>
      <w:r w:rsidR="000606B4">
        <w:rPr>
          <w:rFonts w:cs="Arial"/>
        </w:rPr>
        <w:t>These principles</w:t>
      </w:r>
      <w:r w:rsidR="00CB12B4">
        <w:rPr>
          <w:rFonts w:cs="Arial"/>
        </w:rPr>
        <w:t xml:space="preserve"> provide guidance which </w:t>
      </w:r>
      <w:r w:rsidR="001743C9">
        <w:rPr>
          <w:rFonts w:cs="Arial"/>
        </w:rPr>
        <w:t xml:space="preserve">assist </w:t>
      </w:r>
      <w:r w:rsidR="00CB12B4">
        <w:rPr>
          <w:rFonts w:cs="Arial"/>
        </w:rPr>
        <w:t xml:space="preserve">in </w:t>
      </w:r>
      <w:r w:rsidR="0095092D">
        <w:rPr>
          <w:rFonts w:cs="Arial"/>
        </w:rPr>
        <w:t xml:space="preserve">achieving </w:t>
      </w:r>
      <w:r w:rsidR="00CB12B4">
        <w:rPr>
          <w:rFonts w:cs="Arial"/>
        </w:rPr>
        <w:t xml:space="preserve">good design for developments. </w:t>
      </w:r>
      <w:r w:rsidR="00D45C0A">
        <w:rPr>
          <w:rFonts w:cs="Arial"/>
        </w:rPr>
        <w:t xml:space="preserve">However, </w:t>
      </w:r>
      <w:r w:rsidR="001743C9">
        <w:rPr>
          <w:rFonts w:cs="Arial"/>
        </w:rPr>
        <w:t xml:space="preserve">further </w:t>
      </w:r>
      <w:r w:rsidR="00DB1490">
        <w:rPr>
          <w:rFonts w:cs="Arial"/>
        </w:rPr>
        <w:t xml:space="preserve">guidance can be added to these principles that pick up on bespoke issues </w:t>
      </w:r>
      <w:r w:rsidR="00256606">
        <w:rPr>
          <w:rFonts w:cs="Arial"/>
        </w:rPr>
        <w:t xml:space="preserve">that relate to </w:t>
      </w:r>
      <w:r w:rsidR="009500A3">
        <w:rPr>
          <w:rFonts w:cs="Arial"/>
        </w:rPr>
        <w:t xml:space="preserve">residential </w:t>
      </w:r>
      <w:r w:rsidR="00256606">
        <w:rPr>
          <w:rFonts w:cs="Arial"/>
        </w:rPr>
        <w:t xml:space="preserve">conversions. </w:t>
      </w:r>
    </w:p>
    <w:p w14:paraId="5D7F9C9E" w14:textId="03A848D2" w:rsidR="00256606" w:rsidRDefault="00256606" w:rsidP="00B0105E">
      <w:pPr>
        <w:ind w:left="720" w:hanging="720"/>
        <w:jc w:val="both"/>
        <w:rPr>
          <w:rFonts w:cs="Arial"/>
        </w:rPr>
      </w:pPr>
    </w:p>
    <w:p w14:paraId="69FE5795" w14:textId="186F7B8C" w:rsidR="00256606" w:rsidRDefault="00256606" w:rsidP="00B0105E">
      <w:pPr>
        <w:ind w:left="720" w:hanging="720"/>
        <w:jc w:val="both"/>
        <w:rPr>
          <w:rFonts w:cs="Arial"/>
        </w:rPr>
      </w:pPr>
      <w:r>
        <w:rPr>
          <w:rFonts w:cs="Arial"/>
        </w:rPr>
        <w:t>7.3</w:t>
      </w:r>
      <w:r>
        <w:rPr>
          <w:rFonts w:cs="Arial"/>
        </w:rPr>
        <w:tab/>
        <w:t>Beyond the existing relevant borough</w:t>
      </w:r>
      <w:r w:rsidR="00B97EA9">
        <w:rPr>
          <w:rFonts w:cs="Arial"/>
        </w:rPr>
        <w:t xml:space="preserve"> design principles</w:t>
      </w:r>
      <w:r w:rsidR="003B7552">
        <w:rPr>
          <w:rFonts w:cs="Arial"/>
        </w:rPr>
        <w:t xml:space="preserve"> noted above</w:t>
      </w:r>
      <w:r w:rsidR="00B97EA9">
        <w:rPr>
          <w:rFonts w:cs="Arial"/>
        </w:rPr>
        <w:t>, further principles are proposed from</w:t>
      </w:r>
      <w:r w:rsidR="003B7552">
        <w:rPr>
          <w:rFonts w:cs="Arial"/>
        </w:rPr>
        <w:t xml:space="preserve"> </w:t>
      </w:r>
      <w:r w:rsidR="003B7552" w:rsidRPr="003B7552">
        <w:rPr>
          <w:rFonts w:cs="Arial"/>
        </w:rPr>
        <w:t>I</w:t>
      </w:r>
      <w:r w:rsidR="00B97EA9" w:rsidRPr="003B7552">
        <w:rPr>
          <w:rFonts w:cs="Arial"/>
        </w:rPr>
        <w:t xml:space="preserve"> through to </w:t>
      </w:r>
      <w:r w:rsidR="003B7552">
        <w:rPr>
          <w:rFonts w:cs="Arial"/>
        </w:rPr>
        <w:t xml:space="preserve">O. </w:t>
      </w:r>
      <w:r w:rsidR="004A7964">
        <w:rPr>
          <w:rFonts w:cs="Arial"/>
        </w:rPr>
        <w:t xml:space="preserve">These additional principles are proposed </w:t>
      </w:r>
      <w:r w:rsidR="002A3F0F">
        <w:rPr>
          <w:rFonts w:cs="Arial"/>
        </w:rPr>
        <w:t xml:space="preserve">as they </w:t>
      </w:r>
      <w:r w:rsidR="00CF54AA">
        <w:rPr>
          <w:rFonts w:cs="Arial"/>
        </w:rPr>
        <w:t>are</w:t>
      </w:r>
      <w:r w:rsidR="002A3F0F">
        <w:rPr>
          <w:rFonts w:cs="Arial"/>
        </w:rPr>
        <w:t xml:space="preserve"> bespoke issues </w:t>
      </w:r>
      <w:r w:rsidR="00DB0536">
        <w:rPr>
          <w:rFonts w:cs="Arial"/>
        </w:rPr>
        <w:t xml:space="preserve">that relate to </w:t>
      </w:r>
      <w:r w:rsidR="009500A3">
        <w:rPr>
          <w:rFonts w:cs="Arial"/>
        </w:rPr>
        <w:t xml:space="preserve">residential </w:t>
      </w:r>
      <w:r w:rsidR="005F28B1">
        <w:rPr>
          <w:rFonts w:cs="Arial"/>
        </w:rPr>
        <w:t>conversions</w:t>
      </w:r>
      <w:r w:rsidR="00DB0536">
        <w:rPr>
          <w:rFonts w:cs="Arial"/>
        </w:rPr>
        <w:t xml:space="preserve">, and are not directly </w:t>
      </w:r>
      <w:r w:rsidR="005F28B1">
        <w:rPr>
          <w:rFonts w:cs="Arial"/>
        </w:rPr>
        <w:t>addressed under the more general borough wide guidance in principles A to H.</w:t>
      </w:r>
      <w:r w:rsidR="009500A3">
        <w:rPr>
          <w:rFonts w:cs="Arial"/>
        </w:rPr>
        <w:t xml:space="preserve"> Such principles are considered relevant to conversions regardless of whether </w:t>
      </w:r>
      <w:r w:rsidR="009535B9">
        <w:rPr>
          <w:rFonts w:cs="Arial"/>
        </w:rPr>
        <w:t>or not extensions are also proposed</w:t>
      </w:r>
    </w:p>
    <w:p w14:paraId="57023940" w14:textId="77777777" w:rsidR="00B705DF" w:rsidRDefault="00B705DF" w:rsidP="00B0105E">
      <w:pPr>
        <w:ind w:left="720" w:hanging="720"/>
        <w:jc w:val="both"/>
        <w:rPr>
          <w:rFonts w:cs="Arial"/>
        </w:rPr>
      </w:pPr>
    </w:p>
    <w:p w14:paraId="7E2AAA5B" w14:textId="135CBE0D" w:rsidR="00B705DF" w:rsidRDefault="00B705DF" w:rsidP="00B705DF">
      <w:pPr>
        <w:ind w:left="720" w:hanging="720"/>
        <w:jc w:val="both"/>
        <w:rPr>
          <w:rFonts w:cs="Arial"/>
        </w:rPr>
      </w:pPr>
      <w:r>
        <w:rPr>
          <w:rFonts w:cs="Arial"/>
        </w:rPr>
        <w:t>7.</w:t>
      </w:r>
      <w:r w:rsidR="003E32FA">
        <w:rPr>
          <w:rFonts w:cs="Arial"/>
        </w:rPr>
        <w:t>4</w:t>
      </w:r>
      <w:r>
        <w:rPr>
          <w:rFonts w:cs="Arial"/>
        </w:rPr>
        <w:tab/>
      </w:r>
      <w:r w:rsidR="001543E4">
        <w:rPr>
          <w:rFonts w:cs="Arial"/>
        </w:rPr>
        <w:t xml:space="preserve">Following on from the principles, the </w:t>
      </w:r>
      <w:r w:rsidR="009535B9">
        <w:rPr>
          <w:rFonts w:cs="Arial"/>
        </w:rPr>
        <w:t xml:space="preserve">residential </w:t>
      </w:r>
      <w:r w:rsidR="001543E4">
        <w:rPr>
          <w:rFonts w:cs="Arial"/>
        </w:rPr>
        <w:t xml:space="preserve">conversion guidance will set out supporting text to each of the principles to assist developments address the relevant issues that can lead to a poor-quality development. </w:t>
      </w:r>
      <w:r w:rsidR="001543E4">
        <w:rPr>
          <w:rFonts w:cs="Arial"/>
        </w:rPr>
        <w:lastRenderedPageBreak/>
        <w:t xml:space="preserve">Any guidance will be supported by visual representations of both good and poor design examples, which enable schemes to be brought forward with a clear understanding of what will and what will not be supported by the </w:t>
      </w:r>
      <w:r w:rsidR="00F42A10">
        <w:rPr>
          <w:rFonts w:cs="Arial"/>
        </w:rPr>
        <w:t>Local Planning Authority</w:t>
      </w:r>
      <w:r w:rsidR="00D31BB3">
        <w:rPr>
          <w:rFonts w:cs="Arial"/>
        </w:rPr>
        <w:t xml:space="preserve"> (LPA)</w:t>
      </w:r>
      <w:r w:rsidR="001543E4">
        <w:rPr>
          <w:rFonts w:cs="Arial"/>
        </w:rPr>
        <w:t xml:space="preserve">. It is considered that this approach will provide sufficient guidance to set out the </w:t>
      </w:r>
      <w:r w:rsidR="00D31BB3">
        <w:rPr>
          <w:rFonts w:cs="Arial"/>
        </w:rPr>
        <w:t xml:space="preserve">LPA’s </w:t>
      </w:r>
      <w:r w:rsidR="001543E4">
        <w:rPr>
          <w:rFonts w:cs="Arial"/>
        </w:rPr>
        <w:t xml:space="preserve">expectation for high quality design for </w:t>
      </w:r>
      <w:r w:rsidR="008A529D">
        <w:rPr>
          <w:rFonts w:cs="Arial"/>
        </w:rPr>
        <w:t xml:space="preserve">residential </w:t>
      </w:r>
      <w:r w:rsidR="001543E4">
        <w:rPr>
          <w:rFonts w:cs="Arial"/>
        </w:rPr>
        <w:t>conversions.</w:t>
      </w:r>
    </w:p>
    <w:p w14:paraId="561E4FA7" w14:textId="63E2A843" w:rsidR="003D43A0" w:rsidRDefault="003D43A0" w:rsidP="00B705DF">
      <w:pPr>
        <w:ind w:left="720" w:hanging="720"/>
        <w:jc w:val="both"/>
        <w:rPr>
          <w:rFonts w:cs="Arial"/>
        </w:rPr>
      </w:pPr>
    </w:p>
    <w:p w14:paraId="095DF014" w14:textId="046F481F" w:rsidR="003D43A0" w:rsidRDefault="003D43A0" w:rsidP="00B705DF">
      <w:pPr>
        <w:ind w:left="720" w:hanging="720"/>
        <w:jc w:val="both"/>
        <w:rPr>
          <w:rFonts w:cs="Arial"/>
        </w:rPr>
      </w:pPr>
      <w:r>
        <w:rPr>
          <w:rFonts w:cs="Arial"/>
        </w:rPr>
        <w:t>7.</w:t>
      </w:r>
      <w:r w:rsidR="003E32FA">
        <w:rPr>
          <w:rFonts w:cs="Arial"/>
        </w:rPr>
        <w:t>5</w:t>
      </w:r>
      <w:r>
        <w:rPr>
          <w:rFonts w:cs="Arial"/>
        </w:rPr>
        <w:tab/>
      </w:r>
      <w:r w:rsidR="0062707F">
        <w:rPr>
          <w:rFonts w:cs="Arial"/>
        </w:rPr>
        <w:t>The draft Small Sites</w:t>
      </w:r>
      <w:r w:rsidR="00593E65">
        <w:rPr>
          <w:rFonts w:cs="Arial"/>
        </w:rPr>
        <w:t xml:space="preserve"> Design Code SPD</w:t>
      </w:r>
      <w:r w:rsidR="00E05C34">
        <w:rPr>
          <w:rFonts w:cs="Arial"/>
        </w:rPr>
        <w:t xml:space="preserve"> as consulted upon</w:t>
      </w:r>
      <w:r w:rsidR="00067A2F">
        <w:rPr>
          <w:rFonts w:cs="Arial"/>
        </w:rPr>
        <w:t xml:space="preserve">, </w:t>
      </w:r>
      <w:r w:rsidR="00CA27B0">
        <w:rPr>
          <w:rFonts w:cs="Arial"/>
        </w:rPr>
        <w:t>through</w:t>
      </w:r>
      <w:r w:rsidR="00067A2F">
        <w:rPr>
          <w:rFonts w:cs="Arial"/>
        </w:rPr>
        <w:t xml:space="preserve"> </w:t>
      </w:r>
      <w:r w:rsidR="003C10FA" w:rsidRPr="000633A0">
        <w:rPr>
          <w:rFonts w:cs="Arial"/>
        </w:rPr>
        <w:t>Chapters 3.1.20 to</w:t>
      </w:r>
      <w:r w:rsidR="00853822" w:rsidRPr="000633A0">
        <w:rPr>
          <w:rFonts w:cs="Arial"/>
        </w:rPr>
        <w:t xml:space="preserve"> 3.1.24</w:t>
      </w:r>
      <w:r w:rsidR="00853822">
        <w:rPr>
          <w:rFonts w:cs="Arial"/>
        </w:rPr>
        <w:t xml:space="preserve"> </w:t>
      </w:r>
      <w:r w:rsidR="00145BD5">
        <w:rPr>
          <w:rFonts w:cs="Arial"/>
        </w:rPr>
        <w:t xml:space="preserve">sets out </w:t>
      </w:r>
      <w:r w:rsidR="008C013C">
        <w:rPr>
          <w:rFonts w:cs="Arial"/>
        </w:rPr>
        <w:t xml:space="preserve">design </w:t>
      </w:r>
      <w:r w:rsidR="004235C9">
        <w:rPr>
          <w:rFonts w:cs="Arial"/>
        </w:rPr>
        <w:t>guidance for householder extensions.</w:t>
      </w:r>
      <w:r w:rsidR="000B32CA">
        <w:rPr>
          <w:rFonts w:cs="Arial"/>
        </w:rPr>
        <w:t xml:space="preserve"> </w:t>
      </w:r>
      <w:r w:rsidR="00D31BB3">
        <w:rPr>
          <w:rFonts w:cs="Arial"/>
        </w:rPr>
        <w:t xml:space="preserve">However, responses to consultation suggested that the </w:t>
      </w:r>
      <w:r w:rsidR="00D76F1F">
        <w:rPr>
          <w:rFonts w:cs="Arial"/>
        </w:rPr>
        <w:t xml:space="preserve">draft guidance </w:t>
      </w:r>
      <w:r w:rsidR="00D31BB3">
        <w:rPr>
          <w:rFonts w:cs="Arial"/>
        </w:rPr>
        <w:t>did</w:t>
      </w:r>
      <w:r w:rsidR="00D76F1F">
        <w:rPr>
          <w:rFonts w:cs="Arial"/>
        </w:rPr>
        <w:t xml:space="preserve"> not provide enough </w:t>
      </w:r>
      <w:r w:rsidR="00DA2E5F">
        <w:rPr>
          <w:rFonts w:cs="Arial"/>
        </w:rPr>
        <w:t xml:space="preserve">detailed </w:t>
      </w:r>
      <w:r w:rsidR="00D76F1F">
        <w:rPr>
          <w:rFonts w:cs="Arial"/>
        </w:rPr>
        <w:t xml:space="preserve">design guidance to assist applicants. </w:t>
      </w:r>
      <w:r w:rsidR="000B32CA">
        <w:rPr>
          <w:rFonts w:cs="Arial"/>
        </w:rPr>
        <w:t xml:space="preserve">Further </w:t>
      </w:r>
      <w:r w:rsidR="0042196C">
        <w:rPr>
          <w:rFonts w:cs="Arial"/>
        </w:rPr>
        <w:t xml:space="preserve">guidance and </w:t>
      </w:r>
      <w:r w:rsidR="003B3D17">
        <w:rPr>
          <w:rFonts w:cs="Arial"/>
        </w:rPr>
        <w:t xml:space="preserve">diagrams / </w:t>
      </w:r>
      <w:r w:rsidR="000B32CA">
        <w:rPr>
          <w:rFonts w:cs="Arial"/>
        </w:rPr>
        <w:t xml:space="preserve">images are proposed to be developed to </w:t>
      </w:r>
      <w:r w:rsidR="008C013C">
        <w:rPr>
          <w:rFonts w:cs="Arial"/>
        </w:rPr>
        <w:t>assist applicants</w:t>
      </w:r>
      <w:r w:rsidR="000B32CA">
        <w:rPr>
          <w:rFonts w:cs="Arial"/>
        </w:rPr>
        <w:t xml:space="preserve"> in bringing forward successful applications</w:t>
      </w:r>
      <w:r w:rsidR="000633A0">
        <w:rPr>
          <w:rFonts w:cs="Arial"/>
        </w:rPr>
        <w:t xml:space="preserve"> for </w:t>
      </w:r>
      <w:r w:rsidR="00177CBE">
        <w:rPr>
          <w:rFonts w:cs="Arial"/>
        </w:rPr>
        <w:t>householder</w:t>
      </w:r>
      <w:r w:rsidR="000633A0">
        <w:rPr>
          <w:rFonts w:cs="Arial"/>
        </w:rPr>
        <w:t xml:space="preserve"> extensions.</w:t>
      </w:r>
      <w:r w:rsidR="008C013C">
        <w:rPr>
          <w:rFonts w:cs="Arial"/>
        </w:rPr>
        <w:t xml:space="preserve"> </w:t>
      </w:r>
    </w:p>
    <w:p w14:paraId="7A3CA98D" w14:textId="77777777" w:rsidR="000A483F" w:rsidRDefault="000A483F" w:rsidP="00B705DF">
      <w:pPr>
        <w:ind w:left="720" w:hanging="720"/>
        <w:jc w:val="both"/>
        <w:rPr>
          <w:rFonts w:cs="Arial"/>
        </w:rPr>
      </w:pPr>
    </w:p>
    <w:p w14:paraId="207F1946" w14:textId="60EDAEBC" w:rsidR="00000220" w:rsidRDefault="00000220" w:rsidP="00B705DF">
      <w:pPr>
        <w:ind w:left="720" w:hanging="720"/>
        <w:jc w:val="both"/>
        <w:rPr>
          <w:rFonts w:cs="Arial"/>
        </w:rPr>
      </w:pPr>
      <w:r>
        <w:rPr>
          <w:rFonts w:cs="Arial"/>
        </w:rPr>
        <w:t>7.</w:t>
      </w:r>
      <w:r w:rsidR="003E32FA">
        <w:rPr>
          <w:rFonts w:cs="Arial"/>
        </w:rPr>
        <w:t>6</w:t>
      </w:r>
      <w:r>
        <w:rPr>
          <w:rFonts w:cs="Arial"/>
        </w:rPr>
        <w:tab/>
      </w:r>
      <w:r w:rsidR="00513A9D">
        <w:rPr>
          <w:rFonts w:cs="Arial"/>
        </w:rPr>
        <w:t>The</w:t>
      </w:r>
      <w:r w:rsidR="00D70092">
        <w:rPr>
          <w:rFonts w:cs="Arial"/>
        </w:rPr>
        <w:t xml:space="preserve"> draft Small Sites Design Code SPD </w:t>
      </w:r>
      <w:r w:rsidR="00513A9D">
        <w:rPr>
          <w:rFonts w:cs="Arial"/>
        </w:rPr>
        <w:t>principles and the</w:t>
      </w:r>
      <w:r w:rsidR="00D70092">
        <w:rPr>
          <w:rFonts w:cs="Arial"/>
        </w:rPr>
        <w:t xml:space="preserve"> proposed bespoke </w:t>
      </w:r>
      <w:r w:rsidR="00360E63">
        <w:rPr>
          <w:rFonts w:cs="Arial"/>
        </w:rPr>
        <w:t xml:space="preserve">residential </w:t>
      </w:r>
      <w:r w:rsidR="00675FA2">
        <w:rPr>
          <w:rFonts w:cs="Arial"/>
        </w:rPr>
        <w:t>conversion principles</w:t>
      </w:r>
      <w:r w:rsidR="00322730">
        <w:rPr>
          <w:rFonts w:cs="Arial"/>
        </w:rPr>
        <w:t xml:space="preserve"> </w:t>
      </w:r>
      <w:r w:rsidR="00513A9D">
        <w:rPr>
          <w:rFonts w:cs="Arial"/>
        </w:rPr>
        <w:t>(</w:t>
      </w:r>
      <w:r w:rsidR="00867435">
        <w:rPr>
          <w:rFonts w:cs="Arial"/>
        </w:rPr>
        <w:t>attached at Appendix 1</w:t>
      </w:r>
      <w:r w:rsidR="00675FA2">
        <w:rPr>
          <w:rFonts w:cs="Arial"/>
        </w:rPr>
        <w:t>)</w:t>
      </w:r>
      <w:r w:rsidR="00D11F6F">
        <w:rPr>
          <w:rFonts w:cs="Arial"/>
        </w:rPr>
        <w:t xml:space="preserve"> will </w:t>
      </w:r>
      <w:r w:rsidR="00867435">
        <w:rPr>
          <w:rFonts w:cs="Arial"/>
        </w:rPr>
        <w:t xml:space="preserve">form </w:t>
      </w:r>
      <w:r w:rsidR="00D11F6F">
        <w:rPr>
          <w:rFonts w:cs="Arial"/>
        </w:rPr>
        <w:t xml:space="preserve">the basis for the </w:t>
      </w:r>
      <w:r w:rsidR="00867435">
        <w:rPr>
          <w:rFonts w:cs="Arial"/>
        </w:rPr>
        <w:t xml:space="preserve">additional </w:t>
      </w:r>
      <w:r w:rsidR="00FF5DA3">
        <w:rPr>
          <w:rFonts w:cs="Arial"/>
        </w:rPr>
        <w:t>guidance</w:t>
      </w:r>
      <w:r w:rsidR="00867435">
        <w:rPr>
          <w:rFonts w:cs="Arial"/>
        </w:rPr>
        <w:t xml:space="preserve">. These principles have been informed by a review of </w:t>
      </w:r>
      <w:r w:rsidR="00FF5DA3">
        <w:rPr>
          <w:rFonts w:cs="Arial"/>
        </w:rPr>
        <w:t>relevant planning appeals</w:t>
      </w:r>
      <w:r w:rsidR="001F26C4">
        <w:rPr>
          <w:rFonts w:cs="Arial"/>
        </w:rPr>
        <w:t xml:space="preserve">, which are able to be </w:t>
      </w:r>
      <w:r w:rsidR="00BE3FDF">
        <w:rPr>
          <w:rFonts w:cs="Arial"/>
        </w:rPr>
        <w:t xml:space="preserve">used to inform the drafting of the subsequent detailed guidance to ensure it is </w:t>
      </w:r>
      <w:r w:rsidR="001D17AB">
        <w:rPr>
          <w:rFonts w:cs="Arial"/>
        </w:rPr>
        <w:t>robust</w:t>
      </w:r>
      <w:r w:rsidR="001466A9">
        <w:rPr>
          <w:rFonts w:cs="Arial"/>
        </w:rPr>
        <w:t xml:space="preserve">. </w:t>
      </w:r>
    </w:p>
    <w:p w14:paraId="7AEC3EE9" w14:textId="77777777" w:rsidR="00AA5352" w:rsidRDefault="00AA5352" w:rsidP="001543E4">
      <w:pPr>
        <w:ind w:left="720" w:hanging="720"/>
        <w:jc w:val="both"/>
        <w:rPr>
          <w:rFonts w:cs="Arial"/>
        </w:rPr>
      </w:pPr>
    </w:p>
    <w:p w14:paraId="3618B8DD" w14:textId="24ECD18F" w:rsidR="001543E4" w:rsidRPr="00CA784C" w:rsidRDefault="004B02F3" w:rsidP="003E32FA">
      <w:pPr>
        <w:keepNext/>
        <w:jc w:val="both"/>
        <w:rPr>
          <w:rFonts w:cs="Arial"/>
          <w:b/>
          <w:bCs/>
          <w:sz w:val="28"/>
          <w:szCs w:val="28"/>
        </w:rPr>
      </w:pPr>
      <w:r w:rsidRPr="00CA784C">
        <w:rPr>
          <w:rFonts w:cs="Arial"/>
          <w:b/>
          <w:bCs/>
          <w:sz w:val="28"/>
          <w:szCs w:val="28"/>
        </w:rPr>
        <w:t>8</w:t>
      </w:r>
      <w:r w:rsidR="001543E4" w:rsidRPr="00CA784C">
        <w:rPr>
          <w:rFonts w:cs="Arial"/>
          <w:b/>
          <w:bCs/>
          <w:sz w:val="28"/>
          <w:szCs w:val="28"/>
        </w:rPr>
        <w:t>.0</w:t>
      </w:r>
      <w:r w:rsidR="001543E4" w:rsidRPr="00CA784C">
        <w:rPr>
          <w:rFonts w:cs="Arial"/>
          <w:b/>
          <w:bCs/>
          <w:sz w:val="28"/>
          <w:szCs w:val="28"/>
        </w:rPr>
        <w:tab/>
        <w:t xml:space="preserve">Conclusion </w:t>
      </w:r>
    </w:p>
    <w:p w14:paraId="581F6D34" w14:textId="77777777" w:rsidR="001543E4" w:rsidRPr="00F80287" w:rsidRDefault="001543E4" w:rsidP="003E32FA">
      <w:pPr>
        <w:keepNext/>
        <w:jc w:val="both"/>
        <w:rPr>
          <w:rFonts w:cs="Arial"/>
          <w:b/>
          <w:bCs/>
          <w:u w:val="single"/>
        </w:rPr>
      </w:pPr>
    </w:p>
    <w:p w14:paraId="6D78B7FF" w14:textId="24CC9372" w:rsidR="001543E4" w:rsidRDefault="004B02F3" w:rsidP="001543E4">
      <w:pPr>
        <w:ind w:left="720" w:hanging="720"/>
        <w:jc w:val="both"/>
        <w:rPr>
          <w:rFonts w:cs="Arial"/>
        </w:rPr>
      </w:pPr>
      <w:r>
        <w:rPr>
          <w:rFonts w:cs="Arial"/>
        </w:rPr>
        <w:t>8</w:t>
      </w:r>
      <w:r w:rsidR="001543E4">
        <w:rPr>
          <w:rFonts w:cs="Arial"/>
        </w:rPr>
        <w:t>.1</w:t>
      </w:r>
      <w:r w:rsidR="001543E4">
        <w:rPr>
          <w:rFonts w:cs="Arial"/>
        </w:rPr>
        <w:tab/>
      </w:r>
      <w:r w:rsidR="003E3A74">
        <w:rPr>
          <w:rFonts w:cs="Arial"/>
        </w:rPr>
        <w:t>T</w:t>
      </w:r>
      <w:r w:rsidR="001543E4">
        <w:rPr>
          <w:rFonts w:cs="Arial"/>
        </w:rPr>
        <w:t>he policy context above</w:t>
      </w:r>
      <w:r w:rsidR="00693D9A">
        <w:rPr>
          <w:rFonts w:cs="Arial"/>
        </w:rPr>
        <w:t xml:space="preserve"> is con</w:t>
      </w:r>
      <w:r w:rsidR="00940DDA">
        <w:rPr>
          <w:rFonts w:cs="Arial"/>
        </w:rPr>
        <w:t xml:space="preserve">sidered to </w:t>
      </w:r>
      <w:r w:rsidR="00693D9A">
        <w:rPr>
          <w:rFonts w:cs="Arial"/>
        </w:rPr>
        <w:t xml:space="preserve">provide </w:t>
      </w:r>
      <w:r w:rsidR="001543E4">
        <w:rPr>
          <w:rFonts w:cs="Arial"/>
        </w:rPr>
        <w:t xml:space="preserve">sufficient policy </w:t>
      </w:r>
      <w:r w:rsidR="0024071A">
        <w:rPr>
          <w:rFonts w:cs="Arial"/>
        </w:rPr>
        <w:t xml:space="preserve">basis </w:t>
      </w:r>
      <w:r w:rsidR="001543E4">
        <w:rPr>
          <w:rFonts w:cs="Arial"/>
        </w:rPr>
        <w:t xml:space="preserve">within the existing </w:t>
      </w:r>
      <w:r w:rsidR="003D2434">
        <w:rPr>
          <w:rFonts w:cs="Arial"/>
        </w:rPr>
        <w:t>Local Plan</w:t>
      </w:r>
      <w:r w:rsidR="001543E4">
        <w:rPr>
          <w:rFonts w:cs="Arial"/>
        </w:rPr>
        <w:t xml:space="preserve"> relating to the conversion of single-family homes / larger flats to multiple flats, which are able to form the basis for further guidance through </w:t>
      </w:r>
      <w:proofErr w:type="gramStart"/>
      <w:r w:rsidR="001543E4">
        <w:rPr>
          <w:rFonts w:cs="Arial"/>
        </w:rPr>
        <w:t>a</w:t>
      </w:r>
      <w:proofErr w:type="gramEnd"/>
      <w:r w:rsidR="001543E4">
        <w:rPr>
          <w:rFonts w:cs="Arial"/>
        </w:rPr>
        <w:t xml:space="preserve"> SPD. The policies listed above provide a certain level of </w:t>
      </w:r>
      <w:r w:rsidR="005C297D">
        <w:rPr>
          <w:rFonts w:cs="Arial"/>
        </w:rPr>
        <w:t xml:space="preserve">written </w:t>
      </w:r>
      <w:r w:rsidR="001543E4">
        <w:rPr>
          <w:rFonts w:cs="Arial"/>
        </w:rPr>
        <w:t xml:space="preserve">guidance to assist applicants bringing forward applications to convert homes to flats. However, further guidance is sought to be provided to assist applicants and planning officers to ensure that </w:t>
      </w:r>
      <w:r w:rsidR="007737BE">
        <w:rPr>
          <w:rFonts w:cs="Arial"/>
        </w:rPr>
        <w:t xml:space="preserve">residential </w:t>
      </w:r>
      <w:r w:rsidR="001543E4">
        <w:rPr>
          <w:rFonts w:cs="Arial"/>
        </w:rPr>
        <w:t xml:space="preserve">conversions achieve a higher quality design than currently is achieved. Issues arising with applications </w:t>
      </w:r>
      <w:proofErr w:type="gramStart"/>
      <w:r w:rsidR="001543E4">
        <w:rPr>
          <w:rFonts w:cs="Arial"/>
        </w:rPr>
        <w:t>are able to</w:t>
      </w:r>
      <w:proofErr w:type="gramEnd"/>
      <w:r w:rsidR="001543E4">
        <w:rPr>
          <w:rFonts w:cs="Arial"/>
        </w:rPr>
        <w:t xml:space="preserve"> be considered in the context of the area wide design principles that have been progressed as part of the draft Small Sites Design Code SPD. As such, it is proposed that </w:t>
      </w:r>
      <w:r w:rsidR="007737BE">
        <w:rPr>
          <w:rFonts w:cs="Arial"/>
        </w:rPr>
        <w:t xml:space="preserve">residential </w:t>
      </w:r>
      <w:r w:rsidR="001543E4">
        <w:rPr>
          <w:rFonts w:cs="Arial"/>
        </w:rPr>
        <w:t xml:space="preserve">conversion guidance sit as a chapter within this document. </w:t>
      </w:r>
    </w:p>
    <w:p w14:paraId="09EB1D57" w14:textId="77777777" w:rsidR="0044548D" w:rsidRDefault="0044548D" w:rsidP="001543E4">
      <w:pPr>
        <w:ind w:left="720" w:hanging="720"/>
        <w:jc w:val="both"/>
        <w:rPr>
          <w:rFonts w:cs="Arial"/>
        </w:rPr>
      </w:pPr>
    </w:p>
    <w:p w14:paraId="4B3796F0" w14:textId="57413E80" w:rsidR="001543E4" w:rsidRDefault="004B02F3" w:rsidP="001543E4">
      <w:pPr>
        <w:ind w:left="720" w:hanging="720"/>
        <w:jc w:val="both"/>
        <w:rPr>
          <w:rFonts w:cs="Arial"/>
        </w:rPr>
      </w:pPr>
      <w:r>
        <w:rPr>
          <w:rFonts w:cs="Arial"/>
        </w:rPr>
        <w:t>8</w:t>
      </w:r>
      <w:r w:rsidR="001543E4">
        <w:rPr>
          <w:rFonts w:cs="Arial"/>
        </w:rPr>
        <w:t>.2</w:t>
      </w:r>
      <w:r w:rsidR="001543E4">
        <w:rPr>
          <w:rFonts w:cs="Arial"/>
        </w:rPr>
        <w:tab/>
        <w:t xml:space="preserve">Where the area wide design principles set out for borough wide development within the draft Small Sites Design Code SPD are not specific enough to address design quality issues specific to </w:t>
      </w:r>
      <w:r w:rsidR="0089273B">
        <w:rPr>
          <w:rFonts w:cs="Arial"/>
        </w:rPr>
        <w:t xml:space="preserve">residential </w:t>
      </w:r>
      <w:r w:rsidR="001543E4">
        <w:rPr>
          <w:rFonts w:cs="Arial"/>
        </w:rPr>
        <w:t xml:space="preserve">conversions, a chapter that deals specifically with such matters will ensure that </w:t>
      </w:r>
      <w:r w:rsidR="00E037FD">
        <w:rPr>
          <w:rFonts w:cs="Arial"/>
        </w:rPr>
        <w:t xml:space="preserve">more detailed </w:t>
      </w:r>
      <w:r w:rsidR="001543E4">
        <w:rPr>
          <w:rFonts w:cs="Arial"/>
        </w:rPr>
        <w:t xml:space="preserve">guidance is able to be provided.  </w:t>
      </w:r>
    </w:p>
    <w:p w14:paraId="4F18E910" w14:textId="77777777" w:rsidR="0044548D" w:rsidRDefault="0044548D" w:rsidP="001543E4">
      <w:pPr>
        <w:ind w:left="720" w:hanging="720"/>
        <w:jc w:val="both"/>
        <w:rPr>
          <w:rFonts w:cs="Arial"/>
        </w:rPr>
      </w:pPr>
    </w:p>
    <w:p w14:paraId="2EA66535" w14:textId="04AF0D27" w:rsidR="001543E4" w:rsidRDefault="004B02F3" w:rsidP="001543E4">
      <w:pPr>
        <w:ind w:left="720" w:hanging="720"/>
        <w:jc w:val="both"/>
        <w:rPr>
          <w:rFonts w:cs="Arial"/>
        </w:rPr>
      </w:pPr>
      <w:r>
        <w:rPr>
          <w:rFonts w:cs="Arial"/>
        </w:rPr>
        <w:t>8</w:t>
      </w:r>
      <w:r w:rsidR="001543E4">
        <w:rPr>
          <w:rFonts w:cs="Arial"/>
        </w:rPr>
        <w:t>.3</w:t>
      </w:r>
      <w:r w:rsidR="001543E4">
        <w:rPr>
          <w:rFonts w:cs="Arial"/>
        </w:rPr>
        <w:tab/>
        <w:t xml:space="preserve">Whilst any guidance brought forward as set out above would provide guidance to relevant current local plan policies (as set out above), guidance would be flexible to ensure that it would </w:t>
      </w:r>
      <w:proofErr w:type="gramStart"/>
      <w:r w:rsidR="001543E4">
        <w:rPr>
          <w:rFonts w:cs="Arial"/>
        </w:rPr>
        <w:t>still remain</w:t>
      </w:r>
      <w:proofErr w:type="gramEnd"/>
      <w:r w:rsidR="001543E4">
        <w:rPr>
          <w:rFonts w:cs="Arial"/>
        </w:rPr>
        <w:t xml:space="preserve"> relevant following the local plan review (where new/revised policies may be included). </w:t>
      </w:r>
    </w:p>
    <w:p w14:paraId="40856AEF" w14:textId="77777777" w:rsidR="001543E4" w:rsidRDefault="001543E4" w:rsidP="001543E4">
      <w:pPr>
        <w:jc w:val="both"/>
        <w:rPr>
          <w:rFonts w:cs="Arial"/>
          <w:b/>
          <w:bCs/>
          <w:u w:val="single"/>
        </w:rPr>
      </w:pPr>
    </w:p>
    <w:p w14:paraId="59643401" w14:textId="4D182FFF" w:rsidR="001543E4" w:rsidRPr="00CA784C" w:rsidRDefault="006145F0" w:rsidP="003E32FA">
      <w:pPr>
        <w:keepNext/>
        <w:ind w:left="709" w:hanging="709"/>
        <w:jc w:val="both"/>
        <w:rPr>
          <w:rFonts w:cs="Arial"/>
          <w:b/>
          <w:bCs/>
          <w:sz w:val="28"/>
          <w:szCs w:val="28"/>
        </w:rPr>
      </w:pPr>
      <w:r w:rsidRPr="00CA784C">
        <w:rPr>
          <w:rFonts w:cs="Arial"/>
          <w:b/>
          <w:bCs/>
          <w:sz w:val="28"/>
          <w:szCs w:val="28"/>
        </w:rPr>
        <w:lastRenderedPageBreak/>
        <w:t>9.0</w:t>
      </w:r>
      <w:r w:rsidRPr="00CA784C">
        <w:rPr>
          <w:rFonts w:cs="Arial"/>
          <w:b/>
          <w:bCs/>
          <w:sz w:val="28"/>
          <w:szCs w:val="28"/>
        </w:rPr>
        <w:tab/>
      </w:r>
      <w:r w:rsidR="00AF718D" w:rsidRPr="00CA784C">
        <w:rPr>
          <w:rFonts w:cs="Arial"/>
          <w:b/>
          <w:bCs/>
          <w:sz w:val="28"/>
          <w:szCs w:val="28"/>
        </w:rPr>
        <w:t>Matters to be considered</w:t>
      </w:r>
      <w:r w:rsidR="001543E4" w:rsidRPr="00CA784C">
        <w:rPr>
          <w:rFonts w:cs="Arial"/>
          <w:b/>
          <w:bCs/>
          <w:sz w:val="28"/>
          <w:szCs w:val="28"/>
        </w:rPr>
        <w:t xml:space="preserve"> with </w:t>
      </w:r>
      <w:r w:rsidR="00AF718D" w:rsidRPr="00CA784C">
        <w:rPr>
          <w:rFonts w:cs="Arial"/>
          <w:b/>
          <w:bCs/>
          <w:sz w:val="28"/>
          <w:szCs w:val="28"/>
        </w:rPr>
        <w:t xml:space="preserve">respect to </w:t>
      </w:r>
      <w:r w:rsidR="001543E4" w:rsidRPr="00CA784C">
        <w:rPr>
          <w:rFonts w:cs="Arial"/>
          <w:b/>
          <w:bCs/>
          <w:sz w:val="28"/>
          <w:szCs w:val="28"/>
        </w:rPr>
        <w:t>the proposed approach</w:t>
      </w:r>
      <w:r w:rsidR="00110847" w:rsidRPr="00CA784C">
        <w:rPr>
          <w:rFonts w:cs="Arial"/>
          <w:b/>
          <w:bCs/>
          <w:sz w:val="28"/>
          <w:szCs w:val="28"/>
        </w:rPr>
        <w:t xml:space="preserve"> </w:t>
      </w:r>
    </w:p>
    <w:p w14:paraId="15950E37" w14:textId="124F0643" w:rsidR="006145F0" w:rsidRDefault="006145F0" w:rsidP="003E32FA">
      <w:pPr>
        <w:keepNext/>
        <w:jc w:val="both"/>
        <w:rPr>
          <w:rFonts w:cs="Arial"/>
          <w:b/>
          <w:bCs/>
          <w:u w:val="single"/>
        </w:rPr>
      </w:pPr>
    </w:p>
    <w:p w14:paraId="7CAFE73E" w14:textId="2AEDA3E1" w:rsidR="006145F0" w:rsidRDefault="006145F0" w:rsidP="003E32FA">
      <w:pPr>
        <w:keepNext/>
        <w:ind w:left="720" w:hanging="720"/>
        <w:jc w:val="both"/>
        <w:rPr>
          <w:rFonts w:cs="Arial"/>
        </w:rPr>
      </w:pPr>
      <w:r w:rsidRPr="006145F0">
        <w:rPr>
          <w:rFonts w:cs="Arial"/>
        </w:rPr>
        <w:t>9.1</w:t>
      </w:r>
      <w:r w:rsidR="002B7D68">
        <w:rPr>
          <w:rFonts w:cs="Arial"/>
        </w:rPr>
        <w:tab/>
        <w:t xml:space="preserve">Developing </w:t>
      </w:r>
      <w:r>
        <w:rPr>
          <w:rFonts w:cs="Arial"/>
        </w:rPr>
        <w:t xml:space="preserve">further </w:t>
      </w:r>
      <w:r w:rsidR="002B7D68">
        <w:rPr>
          <w:rFonts w:cs="Arial"/>
        </w:rPr>
        <w:t>guidance</w:t>
      </w:r>
      <w:r>
        <w:rPr>
          <w:rFonts w:cs="Arial"/>
        </w:rPr>
        <w:t xml:space="preserve"> to the existing policy context</w:t>
      </w:r>
      <w:r w:rsidR="002B7D68">
        <w:rPr>
          <w:rFonts w:cs="Arial"/>
        </w:rPr>
        <w:t xml:space="preserve"> is likely to result in a change in the approach </w:t>
      </w:r>
      <w:r w:rsidR="00620B0F">
        <w:rPr>
          <w:rFonts w:cs="Arial"/>
        </w:rPr>
        <w:t xml:space="preserve">to assessing planning application for flat conversions or </w:t>
      </w:r>
      <w:r w:rsidR="0018168E">
        <w:rPr>
          <w:rFonts w:cs="Arial"/>
        </w:rPr>
        <w:t>householder</w:t>
      </w:r>
      <w:r w:rsidR="00620B0F">
        <w:rPr>
          <w:rFonts w:cs="Arial"/>
        </w:rPr>
        <w:t xml:space="preserve"> extensions, where </w:t>
      </w:r>
      <w:r w:rsidR="0018168E">
        <w:rPr>
          <w:rFonts w:cs="Arial"/>
        </w:rPr>
        <w:t>guidance</w:t>
      </w:r>
      <w:r w:rsidR="00620B0F">
        <w:rPr>
          <w:rFonts w:cs="Arial"/>
        </w:rPr>
        <w:t xml:space="preserve"> in </w:t>
      </w:r>
      <w:proofErr w:type="gramStart"/>
      <w:r w:rsidR="00620B0F">
        <w:rPr>
          <w:rFonts w:cs="Arial"/>
        </w:rPr>
        <w:t>a</w:t>
      </w:r>
      <w:proofErr w:type="gramEnd"/>
      <w:r w:rsidR="00620B0F">
        <w:rPr>
          <w:rFonts w:cs="Arial"/>
        </w:rPr>
        <w:t xml:space="preserve"> SPD will have material weight in the decision taking. Officers have </w:t>
      </w:r>
      <w:r w:rsidR="0018168E">
        <w:rPr>
          <w:rFonts w:cs="Arial"/>
        </w:rPr>
        <w:t>identified</w:t>
      </w:r>
      <w:r w:rsidR="00620B0F">
        <w:rPr>
          <w:rFonts w:cs="Arial"/>
        </w:rPr>
        <w:t xml:space="preserve"> some </w:t>
      </w:r>
      <w:r w:rsidR="0018168E">
        <w:rPr>
          <w:rFonts w:cs="Arial"/>
        </w:rPr>
        <w:t>potential</w:t>
      </w:r>
      <w:r w:rsidR="00620B0F">
        <w:rPr>
          <w:rFonts w:cs="Arial"/>
        </w:rPr>
        <w:t xml:space="preserve"> issues with </w:t>
      </w:r>
      <w:r w:rsidR="0018168E">
        <w:rPr>
          <w:rFonts w:cs="Arial"/>
        </w:rPr>
        <w:t xml:space="preserve">applying such guidance. </w:t>
      </w:r>
    </w:p>
    <w:p w14:paraId="116F802C" w14:textId="7D94D0ED" w:rsidR="006145F0" w:rsidRDefault="006145F0" w:rsidP="003E32FA">
      <w:pPr>
        <w:keepNext/>
        <w:jc w:val="both"/>
        <w:rPr>
          <w:rFonts w:cs="Arial"/>
        </w:rPr>
      </w:pPr>
    </w:p>
    <w:p w14:paraId="742BFAC1" w14:textId="6045F86C" w:rsidR="001543E4" w:rsidRPr="003E32FA" w:rsidRDefault="001543E4" w:rsidP="003E32FA">
      <w:pPr>
        <w:pStyle w:val="ListParagraph"/>
        <w:numPr>
          <w:ilvl w:val="0"/>
          <w:numId w:val="26"/>
        </w:numPr>
        <w:spacing w:after="160" w:line="259" w:lineRule="auto"/>
        <w:ind w:left="1276" w:hanging="556"/>
        <w:contextualSpacing/>
        <w:jc w:val="both"/>
        <w:rPr>
          <w:sz w:val="24"/>
          <w:szCs w:val="24"/>
        </w:rPr>
      </w:pPr>
      <w:r w:rsidRPr="003E32FA">
        <w:rPr>
          <w:sz w:val="24"/>
          <w:szCs w:val="24"/>
        </w:rPr>
        <w:t xml:space="preserve">Approach will </w:t>
      </w:r>
      <w:r w:rsidR="001D53E2" w:rsidRPr="003E32FA">
        <w:rPr>
          <w:sz w:val="24"/>
          <w:szCs w:val="24"/>
        </w:rPr>
        <w:t>result</w:t>
      </w:r>
      <w:r w:rsidR="00901253" w:rsidRPr="003E32FA">
        <w:rPr>
          <w:sz w:val="24"/>
          <w:szCs w:val="24"/>
        </w:rPr>
        <w:t xml:space="preserve"> in</w:t>
      </w:r>
      <w:r w:rsidRPr="003E32FA">
        <w:rPr>
          <w:sz w:val="24"/>
          <w:szCs w:val="24"/>
        </w:rPr>
        <w:t xml:space="preserve"> a shift in recent practice, which is likely to lead to initial frustration for planning agents / increase in appeals. </w:t>
      </w:r>
    </w:p>
    <w:p w14:paraId="563FA9A2" w14:textId="77777777" w:rsidR="001543E4" w:rsidRPr="003E32FA" w:rsidRDefault="001543E4" w:rsidP="003E32FA">
      <w:pPr>
        <w:pStyle w:val="ListParagraph"/>
        <w:numPr>
          <w:ilvl w:val="0"/>
          <w:numId w:val="26"/>
        </w:numPr>
        <w:spacing w:after="160" w:line="259" w:lineRule="auto"/>
        <w:ind w:left="1276" w:hanging="556"/>
        <w:contextualSpacing/>
        <w:jc w:val="both"/>
        <w:rPr>
          <w:sz w:val="24"/>
          <w:szCs w:val="24"/>
        </w:rPr>
      </w:pPr>
      <w:r w:rsidRPr="003E32FA">
        <w:rPr>
          <w:sz w:val="24"/>
          <w:szCs w:val="24"/>
        </w:rPr>
        <w:t>Insisting on a family unit to be provided had a tenuous link to Policy DM24 (Housing Mix) of the HDMPLP (2013</w:t>
      </w:r>
      <w:proofErr w:type="gramStart"/>
      <w:r w:rsidRPr="003E32FA">
        <w:rPr>
          <w:sz w:val="24"/>
          <w:szCs w:val="24"/>
        </w:rPr>
        <w:t>), and</w:t>
      </w:r>
      <w:proofErr w:type="gramEnd"/>
      <w:r w:rsidRPr="003E32FA">
        <w:rPr>
          <w:sz w:val="24"/>
          <w:szCs w:val="24"/>
        </w:rPr>
        <w:t xml:space="preserve"> may be subject to challenge as it is more in relation to design outcomes rather than housing delivery. A stronger policy basis for this would need to be progressed through the local plan review process. </w:t>
      </w:r>
    </w:p>
    <w:p w14:paraId="635B9EDD" w14:textId="77777777" w:rsidR="001543E4" w:rsidRPr="003E32FA" w:rsidRDefault="001543E4" w:rsidP="003E32FA">
      <w:pPr>
        <w:pStyle w:val="ListParagraph"/>
        <w:numPr>
          <w:ilvl w:val="0"/>
          <w:numId w:val="26"/>
        </w:numPr>
        <w:spacing w:after="160" w:line="259" w:lineRule="auto"/>
        <w:ind w:left="1276" w:hanging="556"/>
        <w:contextualSpacing/>
        <w:jc w:val="both"/>
        <w:rPr>
          <w:sz w:val="24"/>
          <w:szCs w:val="24"/>
        </w:rPr>
      </w:pPr>
      <w:r w:rsidRPr="003E32FA">
        <w:rPr>
          <w:sz w:val="24"/>
          <w:szCs w:val="24"/>
        </w:rPr>
        <w:t xml:space="preserve">Family homes that are being lost are difficult to replace as new larger scale development is often directed to town centre locations, and therefore not necessarily the character of the area to provide such homes. </w:t>
      </w:r>
    </w:p>
    <w:p w14:paraId="4CEA7D85" w14:textId="77777777" w:rsidR="001543E4" w:rsidRPr="003E32FA" w:rsidRDefault="001543E4" w:rsidP="003E32FA">
      <w:pPr>
        <w:pStyle w:val="ListParagraph"/>
        <w:numPr>
          <w:ilvl w:val="0"/>
          <w:numId w:val="26"/>
        </w:numPr>
        <w:spacing w:after="160" w:line="259" w:lineRule="auto"/>
        <w:ind w:left="1276" w:hanging="556"/>
        <w:contextualSpacing/>
        <w:jc w:val="both"/>
        <w:rPr>
          <w:sz w:val="24"/>
          <w:szCs w:val="24"/>
        </w:rPr>
      </w:pPr>
      <w:r w:rsidRPr="003E32FA">
        <w:rPr>
          <w:sz w:val="24"/>
          <w:szCs w:val="24"/>
        </w:rPr>
        <w:t xml:space="preserve">A position will need to be taken in relation to considering an application based on the prevailing pattern of </w:t>
      </w:r>
      <w:proofErr w:type="gramStart"/>
      <w:r w:rsidRPr="003E32FA">
        <w:rPr>
          <w:sz w:val="24"/>
          <w:szCs w:val="24"/>
        </w:rPr>
        <w:t>development, or</w:t>
      </w:r>
      <w:proofErr w:type="gramEnd"/>
      <w:r w:rsidRPr="003E32FA">
        <w:rPr>
          <w:sz w:val="24"/>
          <w:szCs w:val="24"/>
        </w:rPr>
        <w:t xml:space="preserve"> seeking to improve the quality of area where the character has been eroded. </w:t>
      </w:r>
    </w:p>
    <w:p w14:paraId="4A1D8FF9" w14:textId="53D65B4A" w:rsidR="00410C2B" w:rsidRPr="00B617FB" w:rsidRDefault="00E313A3" w:rsidP="003E32FA">
      <w:pPr>
        <w:pStyle w:val="Heading2"/>
        <w:keepNext/>
        <w:rPr>
          <w:rFonts w:ascii="Arial" w:hAnsi="Arial"/>
          <w:sz w:val="28"/>
          <w:szCs w:val="28"/>
        </w:rPr>
      </w:pPr>
      <w:r>
        <w:rPr>
          <w:rFonts w:ascii="Arial" w:hAnsi="Arial"/>
          <w:sz w:val="28"/>
          <w:szCs w:val="28"/>
        </w:rPr>
        <w:t>10</w:t>
      </w:r>
      <w:r w:rsidR="00263F78">
        <w:rPr>
          <w:rFonts w:ascii="Arial" w:hAnsi="Arial"/>
          <w:sz w:val="28"/>
          <w:szCs w:val="28"/>
        </w:rPr>
        <w:t>.0</w:t>
      </w:r>
      <w:r w:rsidR="0046728D" w:rsidRPr="00B617FB">
        <w:rPr>
          <w:rFonts w:ascii="Arial" w:hAnsi="Arial"/>
          <w:sz w:val="28"/>
          <w:szCs w:val="28"/>
        </w:rPr>
        <w:tab/>
      </w:r>
      <w:r w:rsidR="00410C2B" w:rsidRPr="00B617FB">
        <w:rPr>
          <w:rFonts w:ascii="Arial" w:hAnsi="Arial"/>
          <w:sz w:val="28"/>
          <w:szCs w:val="28"/>
        </w:rPr>
        <w:t>Implications of the Recommendation</w:t>
      </w:r>
    </w:p>
    <w:p w14:paraId="6CCA4B5B" w14:textId="77777777" w:rsidR="003E3867" w:rsidRDefault="003E3867" w:rsidP="003E32FA">
      <w:pPr>
        <w:pStyle w:val="Heading3"/>
        <w:keepNext/>
        <w:rPr>
          <w:sz w:val="24"/>
          <w:szCs w:val="24"/>
        </w:rPr>
      </w:pPr>
    </w:p>
    <w:p w14:paraId="6B29144D" w14:textId="19A868D4" w:rsidR="00410C2B" w:rsidRPr="003E32FA" w:rsidRDefault="00410C2B" w:rsidP="003E32FA">
      <w:pPr>
        <w:pStyle w:val="Heading3"/>
        <w:keepNext/>
      </w:pPr>
      <w:r w:rsidRPr="003E32FA">
        <w:t>Considerations</w:t>
      </w:r>
    </w:p>
    <w:p w14:paraId="21FCCDCD" w14:textId="77777777" w:rsidR="00410C2B" w:rsidRPr="003E32FA" w:rsidRDefault="00410C2B" w:rsidP="003E32FA">
      <w:pPr>
        <w:keepNext/>
        <w:rPr>
          <w:sz w:val="28"/>
          <w:szCs w:val="28"/>
        </w:rPr>
      </w:pPr>
    </w:p>
    <w:p w14:paraId="7A7006D0" w14:textId="556C4308" w:rsidR="00410C2B" w:rsidRPr="003E32FA" w:rsidRDefault="00E313A3" w:rsidP="003E32FA">
      <w:pPr>
        <w:pStyle w:val="Heading4"/>
        <w:rPr>
          <w:sz w:val="28"/>
          <w:szCs w:val="28"/>
        </w:rPr>
      </w:pPr>
      <w:r w:rsidRPr="003E32FA">
        <w:rPr>
          <w:sz w:val="28"/>
          <w:szCs w:val="28"/>
        </w:rPr>
        <w:t>11</w:t>
      </w:r>
      <w:r w:rsidR="004C3182" w:rsidRPr="003E32FA">
        <w:rPr>
          <w:sz w:val="28"/>
          <w:szCs w:val="28"/>
        </w:rPr>
        <w:t>.0</w:t>
      </w:r>
      <w:r w:rsidR="004C3182" w:rsidRPr="003E32FA">
        <w:rPr>
          <w:sz w:val="28"/>
          <w:szCs w:val="28"/>
        </w:rPr>
        <w:tab/>
      </w:r>
      <w:r w:rsidR="00410C2B" w:rsidRPr="003E32FA">
        <w:rPr>
          <w:sz w:val="28"/>
          <w:szCs w:val="28"/>
        </w:rPr>
        <w:t>Resourc</w:t>
      </w:r>
      <w:r w:rsidR="00123A4E" w:rsidRPr="003E32FA">
        <w:rPr>
          <w:sz w:val="28"/>
          <w:szCs w:val="28"/>
        </w:rPr>
        <w:t>ing</w:t>
      </w:r>
    </w:p>
    <w:p w14:paraId="36C2557F" w14:textId="32CF8995" w:rsidR="00410C2B" w:rsidRPr="003E32FA" w:rsidRDefault="00410C2B" w:rsidP="003E32FA">
      <w:pPr>
        <w:keepNext/>
        <w:rPr>
          <w:sz w:val="28"/>
          <w:szCs w:val="28"/>
        </w:rPr>
      </w:pPr>
    </w:p>
    <w:p w14:paraId="5BEF69FB" w14:textId="03BEDC60" w:rsidR="00F129BE" w:rsidRDefault="00E313A3" w:rsidP="00F129BE">
      <w:pPr>
        <w:ind w:left="720" w:hanging="720"/>
        <w:jc w:val="both"/>
        <w:rPr>
          <w:szCs w:val="24"/>
        </w:rPr>
      </w:pPr>
      <w:r>
        <w:rPr>
          <w:szCs w:val="24"/>
        </w:rPr>
        <w:t>11</w:t>
      </w:r>
      <w:r w:rsidR="004C3182" w:rsidRPr="00B617FB">
        <w:rPr>
          <w:szCs w:val="24"/>
        </w:rPr>
        <w:t>.1</w:t>
      </w:r>
      <w:r w:rsidR="004C3182" w:rsidRPr="00B617FB">
        <w:rPr>
          <w:szCs w:val="24"/>
        </w:rPr>
        <w:tab/>
      </w:r>
      <w:r w:rsidR="00F129BE" w:rsidRPr="003F382E">
        <w:rPr>
          <w:szCs w:val="24"/>
        </w:rPr>
        <w:t xml:space="preserve">The project </w:t>
      </w:r>
      <w:r w:rsidR="00F129BE">
        <w:rPr>
          <w:szCs w:val="24"/>
        </w:rPr>
        <w:t>is</w:t>
      </w:r>
      <w:r w:rsidR="00F129BE" w:rsidRPr="003F382E">
        <w:rPr>
          <w:szCs w:val="24"/>
        </w:rPr>
        <w:t xml:space="preserve"> be</w:t>
      </w:r>
      <w:r w:rsidR="00F129BE">
        <w:rPr>
          <w:szCs w:val="24"/>
        </w:rPr>
        <w:t>ing</w:t>
      </w:r>
      <w:r w:rsidR="00F129BE" w:rsidRPr="003F382E">
        <w:rPr>
          <w:szCs w:val="24"/>
        </w:rPr>
        <w:t xml:space="preserve"> resourced internally by the Planning Policy Team, from the existing revenue budget.</w:t>
      </w:r>
      <w:r w:rsidR="00F129BE">
        <w:rPr>
          <w:szCs w:val="24"/>
        </w:rPr>
        <w:t xml:space="preserve"> Significant input </w:t>
      </w:r>
      <w:r w:rsidR="00000ADF">
        <w:rPr>
          <w:szCs w:val="24"/>
        </w:rPr>
        <w:t xml:space="preserve">will </w:t>
      </w:r>
      <w:r w:rsidR="00F129BE">
        <w:rPr>
          <w:szCs w:val="24"/>
        </w:rPr>
        <w:t xml:space="preserve">be required from the Council’s Principal Urban Design Officer (located within Development Management). </w:t>
      </w:r>
    </w:p>
    <w:p w14:paraId="1046E7BE" w14:textId="346026ED" w:rsidR="00410C2B" w:rsidRPr="003E32FA" w:rsidRDefault="00E313A3" w:rsidP="003E32FA">
      <w:pPr>
        <w:keepNext/>
        <w:spacing w:before="240"/>
        <w:rPr>
          <w:b/>
          <w:sz w:val="28"/>
          <w:szCs w:val="28"/>
        </w:rPr>
      </w:pPr>
      <w:r w:rsidRPr="003E32FA">
        <w:rPr>
          <w:b/>
          <w:sz w:val="28"/>
          <w:szCs w:val="28"/>
        </w:rPr>
        <w:t>12</w:t>
      </w:r>
      <w:r w:rsidR="004F51ED" w:rsidRPr="003E32FA">
        <w:rPr>
          <w:b/>
          <w:sz w:val="28"/>
          <w:szCs w:val="28"/>
        </w:rPr>
        <w:t>.0</w:t>
      </w:r>
      <w:r w:rsidR="004F51ED" w:rsidRPr="003E32FA">
        <w:rPr>
          <w:b/>
          <w:sz w:val="28"/>
          <w:szCs w:val="28"/>
        </w:rPr>
        <w:tab/>
      </w:r>
      <w:r w:rsidR="00410C2B" w:rsidRPr="003E32FA">
        <w:rPr>
          <w:b/>
          <w:sz w:val="28"/>
          <w:szCs w:val="28"/>
        </w:rPr>
        <w:t xml:space="preserve">Ward Councillors’ comments </w:t>
      </w:r>
    </w:p>
    <w:p w14:paraId="0B3514A8" w14:textId="0CDBDB59" w:rsidR="00410C2B" w:rsidRPr="003E32FA" w:rsidRDefault="00410C2B" w:rsidP="003E32FA">
      <w:pPr>
        <w:keepNext/>
        <w:rPr>
          <w:b/>
          <w:sz w:val="28"/>
          <w:szCs w:val="28"/>
        </w:rPr>
      </w:pPr>
    </w:p>
    <w:p w14:paraId="4B6FA9B5" w14:textId="6C835E0B" w:rsidR="00CF4FFE" w:rsidRPr="00B617FB" w:rsidRDefault="00E313A3" w:rsidP="00F3280C">
      <w:pPr>
        <w:ind w:left="720" w:hanging="720"/>
        <w:jc w:val="both"/>
      </w:pPr>
      <w:r>
        <w:t>12</w:t>
      </w:r>
      <w:r w:rsidR="004F51ED" w:rsidRPr="00B617FB">
        <w:t>.1</w:t>
      </w:r>
      <w:r w:rsidR="004F51ED" w:rsidRPr="00B617FB">
        <w:tab/>
      </w:r>
      <w:r w:rsidR="00480229" w:rsidRPr="00F3280C">
        <w:t xml:space="preserve">Ward Councillor input </w:t>
      </w:r>
      <w:r w:rsidR="00AC5B9C" w:rsidRPr="00F3280C">
        <w:t xml:space="preserve">was sought during the formal consultation period </w:t>
      </w:r>
      <w:r w:rsidR="0083717E" w:rsidRPr="00F3280C">
        <w:t xml:space="preserve">for the draft Small Sites Design Code SPD </w:t>
      </w:r>
      <w:r w:rsidR="0083717E" w:rsidRPr="00F3280C">
        <w:rPr>
          <w:szCs w:val="24"/>
        </w:rPr>
        <w:t>(</w:t>
      </w:r>
      <w:r w:rsidR="0083717E" w:rsidRPr="00F3280C">
        <w:t>December 2021 – January 2022</w:t>
      </w:r>
      <w:r w:rsidR="0083717E" w:rsidRPr="00F3280C">
        <w:rPr>
          <w:szCs w:val="24"/>
        </w:rPr>
        <w:t>)</w:t>
      </w:r>
      <w:r w:rsidR="00F6291A" w:rsidRPr="00F3280C">
        <w:rPr>
          <w:szCs w:val="24"/>
        </w:rPr>
        <w:t>.</w:t>
      </w:r>
      <w:r w:rsidR="0083717E" w:rsidRPr="00F3280C">
        <w:t xml:space="preserve"> The</w:t>
      </w:r>
      <w:r w:rsidR="00F6291A" w:rsidRPr="00F3280C">
        <w:t xml:space="preserve"> guidance proposed here is in response to consultation feedback from that </w:t>
      </w:r>
      <w:r w:rsidR="00F3280C" w:rsidRPr="00F3280C">
        <w:t xml:space="preserve">process. </w:t>
      </w:r>
      <w:r w:rsidR="0083717E" w:rsidRPr="00F3280C">
        <w:t xml:space="preserve"> </w:t>
      </w:r>
    </w:p>
    <w:p w14:paraId="1A661175" w14:textId="77777777" w:rsidR="00480229" w:rsidRPr="00B617FB" w:rsidRDefault="00480229" w:rsidP="00410C2B">
      <w:pPr>
        <w:rPr>
          <w:b/>
        </w:rPr>
      </w:pPr>
    </w:p>
    <w:p w14:paraId="5B02BBD4" w14:textId="0443B8E5" w:rsidR="00167ACC" w:rsidRPr="003E32FA" w:rsidRDefault="004F51ED" w:rsidP="003E32FA">
      <w:pPr>
        <w:pStyle w:val="Heading4"/>
        <w:rPr>
          <w:sz w:val="28"/>
          <w:szCs w:val="28"/>
        </w:rPr>
      </w:pPr>
      <w:r w:rsidRPr="003E32FA">
        <w:rPr>
          <w:sz w:val="28"/>
          <w:szCs w:val="28"/>
        </w:rPr>
        <w:t>1</w:t>
      </w:r>
      <w:r w:rsidR="00E313A3" w:rsidRPr="003E32FA">
        <w:rPr>
          <w:sz w:val="28"/>
          <w:szCs w:val="28"/>
        </w:rPr>
        <w:t>3</w:t>
      </w:r>
      <w:r w:rsidRPr="003E32FA">
        <w:rPr>
          <w:sz w:val="28"/>
          <w:szCs w:val="28"/>
        </w:rPr>
        <w:t>.0</w:t>
      </w:r>
      <w:r w:rsidR="00CA784C" w:rsidRPr="003E32FA">
        <w:rPr>
          <w:sz w:val="28"/>
          <w:szCs w:val="28"/>
        </w:rPr>
        <w:tab/>
      </w:r>
      <w:r w:rsidR="00167ACC" w:rsidRPr="003E32FA">
        <w:rPr>
          <w:sz w:val="28"/>
          <w:szCs w:val="28"/>
        </w:rPr>
        <w:t>Performance Issues</w:t>
      </w:r>
    </w:p>
    <w:p w14:paraId="77DD0999" w14:textId="77777777" w:rsidR="004F51ED" w:rsidRPr="003E32FA" w:rsidRDefault="004F51ED" w:rsidP="003E32FA">
      <w:pPr>
        <w:keepNext/>
        <w:rPr>
          <w:sz w:val="28"/>
          <w:szCs w:val="28"/>
        </w:rPr>
      </w:pPr>
    </w:p>
    <w:p w14:paraId="12EC96EA" w14:textId="539C02BF" w:rsidR="00167ACC" w:rsidRPr="00B617FB" w:rsidRDefault="004F51ED" w:rsidP="00F3280C">
      <w:pPr>
        <w:pStyle w:val="paragraph"/>
        <w:spacing w:before="0" w:beforeAutospacing="0" w:after="0" w:afterAutospacing="0"/>
        <w:ind w:left="720" w:hanging="720"/>
        <w:jc w:val="both"/>
        <w:textAlignment w:val="baseline"/>
        <w:rPr>
          <w:rFonts w:ascii="Arial" w:hAnsi="Arial" w:cs="Arial"/>
          <w:sz w:val="18"/>
          <w:szCs w:val="18"/>
        </w:rPr>
      </w:pPr>
      <w:r w:rsidRPr="00B617FB">
        <w:rPr>
          <w:rFonts w:ascii="Arial" w:hAnsi="Arial" w:cs="Arial"/>
        </w:rPr>
        <w:t>1</w:t>
      </w:r>
      <w:r w:rsidR="00E313A3">
        <w:rPr>
          <w:rFonts w:ascii="Arial" w:hAnsi="Arial" w:cs="Arial"/>
        </w:rPr>
        <w:t>3</w:t>
      </w:r>
      <w:r w:rsidRPr="00B617FB">
        <w:rPr>
          <w:rFonts w:ascii="Arial" w:hAnsi="Arial" w:cs="Arial"/>
        </w:rPr>
        <w:t>.1</w:t>
      </w:r>
      <w:r w:rsidRPr="00B617FB">
        <w:rPr>
          <w:rFonts w:ascii="Arial" w:hAnsi="Arial" w:cs="Arial"/>
        </w:rPr>
        <w:tab/>
      </w:r>
      <w:r w:rsidR="00CC4FDF" w:rsidRPr="003F382E">
        <w:rPr>
          <w:rFonts w:ascii="Arial" w:hAnsi="Arial" w:cs="Arial"/>
        </w:rPr>
        <w:t xml:space="preserve">None: Report is for information purposes </w:t>
      </w:r>
      <w:r w:rsidR="00CC4FDF">
        <w:rPr>
          <w:rFonts w:ascii="Arial" w:hAnsi="Arial" w:cs="Arial"/>
        </w:rPr>
        <w:t xml:space="preserve">and comment </w:t>
      </w:r>
      <w:r w:rsidR="00CC4FDF" w:rsidRPr="003F382E">
        <w:rPr>
          <w:rFonts w:ascii="Arial" w:hAnsi="Arial" w:cs="Arial"/>
        </w:rPr>
        <w:t>only. Performance issues will be considered as part of any future Cabinet Report.</w:t>
      </w:r>
    </w:p>
    <w:p w14:paraId="19665093" w14:textId="77777777" w:rsidR="00167ACC" w:rsidRPr="00B617FB" w:rsidRDefault="00167ACC" w:rsidP="00F3280C">
      <w:pPr>
        <w:pStyle w:val="paragraph"/>
        <w:spacing w:before="0" w:beforeAutospacing="0" w:after="0" w:afterAutospacing="0"/>
        <w:jc w:val="both"/>
        <w:textAlignment w:val="baseline"/>
        <w:rPr>
          <w:rFonts w:ascii="Segoe UI" w:hAnsi="Segoe UI" w:cs="Segoe UI"/>
          <w:sz w:val="18"/>
          <w:szCs w:val="18"/>
        </w:rPr>
      </w:pPr>
      <w:r w:rsidRPr="00B617FB">
        <w:rPr>
          <w:rStyle w:val="eop"/>
          <w:rFonts w:ascii="Arial" w:hAnsi="Arial" w:cs="Arial"/>
        </w:rPr>
        <w:t> </w:t>
      </w:r>
    </w:p>
    <w:p w14:paraId="052DC869" w14:textId="73FF93A0" w:rsidR="00167ACC" w:rsidRPr="003E32FA" w:rsidRDefault="004F51ED" w:rsidP="003E32FA">
      <w:pPr>
        <w:pStyle w:val="Heading4"/>
        <w:rPr>
          <w:sz w:val="28"/>
          <w:szCs w:val="28"/>
        </w:rPr>
      </w:pPr>
      <w:r w:rsidRPr="003E32FA">
        <w:rPr>
          <w:sz w:val="28"/>
          <w:szCs w:val="28"/>
        </w:rPr>
        <w:lastRenderedPageBreak/>
        <w:t>1</w:t>
      </w:r>
      <w:r w:rsidR="00E313A3" w:rsidRPr="003E32FA">
        <w:rPr>
          <w:sz w:val="28"/>
          <w:szCs w:val="28"/>
        </w:rPr>
        <w:t>4</w:t>
      </w:r>
      <w:r w:rsidRPr="003E32FA">
        <w:rPr>
          <w:sz w:val="28"/>
          <w:szCs w:val="28"/>
        </w:rPr>
        <w:t>.0</w:t>
      </w:r>
      <w:r w:rsidRPr="003E32FA">
        <w:rPr>
          <w:sz w:val="28"/>
          <w:szCs w:val="28"/>
        </w:rPr>
        <w:tab/>
      </w:r>
      <w:r w:rsidR="00167ACC" w:rsidRPr="003E32FA">
        <w:rPr>
          <w:sz w:val="28"/>
          <w:szCs w:val="28"/>
        </w:rPr>
        <w:t>Environmental Implications</w:t>
      </w:r>
    </w:p>
    <w:p w14:paraId="4848F28D" w14:textId="77777777" w:rsidR="004F51ED" w:rsidRPr="003E32FA" w:rsidRDefault="004F51ED" w:rsidP="003E32FA">
      <w:pPr>
        <w:rPr>
          <w:sz w:val="28"/>
          <w:szCs w:val="28"/>
        </w:rPr>
      </w:pPr>
    </w:p>
    <w:p w14:paraId="1D8ECE71" w14:textId="62A51E67" w:rsidR="00283543" w:rsidRPr="003F382E" w:rsidRDefault="004F51ED" w:rsidP="00283543">
      <w:pPr>
        <w:pStyle w:val="paragraph"/>
        <w:spacing w:before="0" w:beforeAutospacing="0" w:after="0" w:afterAutospacing="0"/>
        <w:ind w:left="720" w:hanging="720"/>
        <w:jc w:val="both"/>
        <w:textAlignment w:val="baseline"/>
        <w:rPr>
          <w:rFonts w:ascii="Arial" w:hAnsi="Arial" w:cs="Arial"/>
          <w:sz w:val="18"/>
          <w:szCs w:val="18"/>
        </w:rPr>
      </w:pPr>
      <w:r w:rsidRPr="00B617FB">
        <w:rPr>
          <w:rFonts w:ascii="Arial" w:hAnsi="Arial" w:cs="Arial"/>
        </w:rPr>
        <w:t>1</w:t>
      </w:r>
      <w:r w:rsidR="00E313A3">
        <w:rPr>
          <w:rFonts w:ascii="Arial" w:hAnsi="Arial" w:cs="Arial"/>
        </w:rPr>
        <w:t>4</w:t>
      </w:r>
      <w:r w:rsidRPr="00B617FB">
        <w:rPr>
          <w:rFonts w:ascii="Arial" w:hAnsi="Arial" w:cs="Arial"/>
        </w:rPr>
        <w:t>.1</w:t>
      </w:r>
      <w:r w:rsidRPr="00B617FB">
        <w:rPr>
          <w:rFonts w:ascii="Arial" w:hAnsi="Arial" w:cs="Arial"/>
        </w:rPr>
        <w:tab/>
      </w:r>
      <w:r w:rsidR="00283543" w:rsidRPr="003F382E">
        <w:rPr>
          <w:rFonts w:ascii="Arial" w:hAnsi="Arial" w:cs="Arial"/>
        </w:rPr>
        <w:t xml:space="preserve">None: Report is for information purposes </w:t>
      </w:r>
      <w:r w:rsidR="00283543">
        <w:rPr>
          <w:rFonts w:ascii="Arial" w:hAnsi="Arial" w:cs="Arial"/>
        </w:rPr>
        <w:t xml:space="preserve">and comment </w:t>
      </w:r>
      <w:r w:rsidR="00283543" w:rsidRPr="003F382E">
        <w:rPr>
          <w:rFonts w:ascii="Arial" w:hAnsi="Arial" w:cs="Arial"/>
        </w:rPr>
        <w:t xml:space="preserve">only. Environmental implications will be considered as part of any future Cabinet Report. </w:t>
      </w:r>
    </w:p>
    <w:p w14:paraId="059BC54B" w14:textId="77777777" w:rsidR="00110847" w:rsidRPr="00B617FB" w:rsidRDefault="00110847" w:rsidP="0C95A15E">
      <w:pPr>
        <w:pStyle w:val="paragraph"/>
        <w:spacing w:before="0" w:beforeAutospacing="0" w:after="0" w:afterAutospacing="0"/>
        <w:textAlignment w:val="baseline"/>
        <w:rPr>
          <w:rStyle w:val="eop"/>
          <w:rFonts w:ascii="Arial" w:hAnsi="Arial" w:cs="Arial"/>
        </w:rPr>
      </w:pPr>
    </w:p>
    <w:p w14:paraId="375AE31F" w14:textId="695EAAB3" w:rsidR="00167ACC" w:rsidRPr="003E32FA" w:rsidRDefault="004F51ED" w:rsidP="003E32FA">
      <w:pPr>
        <w:pStyle w:val="Heading4"/>
        <w:rPr>
          <w:sz w:val="28"/>
          <w:szCs w:val="28"/>
        </w:rPr>
      </w:pPr>
      <w:r w:rsidRPr="003E32FA">
        <w:rPr>
          <w:sz w:val="28"/>
          <w:szCs w:val="28"/>
        </w:rPr>
        <w:t>1</w:t>
      </w:r>
      <w:r w:rsidR="00E313A3" w:rsidRPr="003E32FA">
        <w:rPr>
          <w:sz w:val="28"/>
          <w:szCs w:val="28"/>
        </w:rPr>
        <w:t>5</w:t>
      </w:r>
      <w:r w:rsidRPr="003E32FA">
        <w:rPr>
          <w:sz w:val="28"/>
          <w:szCs w:val="28"/>
        </w:rPr>
        <w:t>.0</w:t>
      </w:r>
      <w:r w:rsidRPr="003E32FA">
        <w:rPr>
          <w:sz w:val="28"/>
          <w:szCs w:val="28"/>
        </w:rPr>
        <w:tab/>
      </w:r>
      <w:r w:rsidR="00167ACC" w:rsidRPr="003E32FA">
        <w:rPr>
          <w:sz w:val="28"/>
          <w:szCs w:val="28"/>
        </w:rPr>
        <w:t>Data Protection Implications</w:t>
      </w:r>
    </w:p>
    <w:p w14:paraId="69EF4008" w14:textId="77777777" w:rsidR="00C128B9" w:rsidRPr="003E32FA" w:rsidRDefault="00C128B9" w:rsidP="003E32FA">
      <w:pPr>
        <w:rPr>
          <w:sz w:val="28"/>
          <w:szCs w:val="28"/>
        </w:rPr>
      </w:pPr>
    </w:p>
    <w:p w14:paraId="34C7F667" w14:textId="5408A8E2" w:rsidR="00167ACC" w:rsidRDefault="004F51ED" w:rsidP="009A1627">
      <w:pPr>
        <w:ind w:left="720" w:hanging="720"/>
        <w:jc w:val="both"/>
      </w:pPr>
      <w:r w:rsidRPr="00B617FB">
        <w:t>1</w:t>
      </w:r>
      <w:r w:rsidR="00E313A3">
        <w:t>5</w:t>
      </w:r>
      <w:r w:rsidRPr="00B617FB">
        <w:t>.1</w:t>
      </w:r>
      <w:r w:rsidRPr="00B617FB">
        <w:tab/>
      </w:r>
      <w:r w:rsidR="00740676" w:rsidRPr="003F382E">
        <w:t xml:space="preserve">None: The report is prepared for information purposes </w:t>
      </w:r>
      <w:r w:rsidR="00740676">
        <w:t xml:space="preserve">and comment </w:t>
      </w:r>
      <w:r w:rsidR="00740676" w:rsidRPr="003F382E">
        <w:t>only for the Planning Policy Advisory Panel, which is noted as being a publicly accessible forum</w:t>
      </w:r>
    </w:p>
    <w:p w14:paraId="64DF001D" w14:textId="77777777" w:rsidR="00740676" w:rsidRPr="00B617FB" w:rsidRDefault="00740676" w:rsidP="00740676">
      <w:pPr>
        <w:ind w:left="720" w:hanging="720"/>
        <w:rPr>
          <w:i/>
        </w:rPr>
      </w:pPr>
    </w:p>
    <w:p w14:paraId="76449499" w14:textId="2457AD7F" w:rsidR="00167ACC" w:rsidRPr="00B617FB" w:rsidRDefault="004F51ED" w:rsidP="00E757C3">
      <w:pPr>
        <w:pStyle w:val="Heading3"/>
        <w:keepNext/>
      </w:pPr>
      <w:r w:rsidRPr="00B617FB">
        <w:t>1</w:t>
      </w:r>
      <w:r w:rsidR="00E313A3">
        <w:t>6</w:t>
      </w:r>
      <w:r w:rsidRPr="00B617FB">
        <w:t>.0</w:t>
      </w:r>
      <w:r w:rsidRPr="00B617FB">
        <w:tab/>
      </w:r>
      <w:r w:rsidR="00167ACC" w:rsidRPr="00B617FB">
        <w:t>Risk Management Implications</w:t>
      </w:r>
    </w:p>
    <w:p w14:paraId="1B87076E" w14:textId="77777777" w:rsidR="00167ACC" w:rsidRPr="00B617FB" w:rsidRDefault="00167ACC" w:rsidP="00E757C3">
      <w:pPr>
        <w:keepNext/>
        <w:tabs>
          <w:tab w:val="left" w:pos="5610"/>
        </w:tabs>
        <w:ind w:right="81"/>
        <w:rPr>
          <w:rFonts w:cs="Arial"/>
          <w:szCs w:val="24"/>
          <w:lang w:val="en-US"/>
        </w:rPr>
      </w:pPr>
    </w:p>
    <w:p w14:paraId="2634C17B" w14:textId="4331E628" w:rsidR="00167ACC" w:rsidRPr="00B617FB" w:rsidRDefault="00167ACC" w:rsidP="00167ACC">
      <w:pPr>
        <w:tabs>
          <w:tab w:val="left" w:pos="5610"/>
        </w:tabs>
        <w:ind w:right="81"/>
      </w:pPr>
      <w:r w:rsidRPr="00B617FB">
        <w:rPr>
          <w:rFonts w:cs="Arial"/>
          <w:szCs w:val="24"/>
          <w:lang w:val="en-US"/>
        </w:rPr>
        <w:t xml:space="preserve">Risks included on corporate or directorate risk </w:t>
      </w:r>
      <w:proofErr w:type="gramStart"/>
      <w:r w:rsidRPr="00B617FB">
        <w:rPr>
          <w:rFonts w:cs="Arial"/>
          <w:szCs w:val="24"/>
          <w:lang w:val="en-US"/>
        </w:rPr>
        <w:t>register?</w:t>
      </w:r>
      <w:proofErr w:type="gramEnd"/>
      <w:r w:rsidRPr="00B617FB">
        <w:rPr>
          <w:rFonts w:cs="Arial"/>
          <w:szCs w:val="24"/>
          <w:lang w:val="en-US"/>
        </w:rPr>
        <w:t xml:space="preserve"> </w:t>
      </w:r>
      <w:r w:rsidRPr="00B617FB">
        <w:rPr>
          <w:rFonts w:cs="Arial"/>
          <w:b/>
          <w:bCs/>
          <w:szCs w:val="24"/>
          <w:lang w:val="en-US"/>
        </w:rPr>
        <w:t>No</w:t>
      </w:r>
      <w:r w:rsidRPr="00B617FB">
        <w:rPr>
          <w:rFonts w:cs="Arial"/>
          <w:szCs w:val="24"/>
          <w:lang w:val="en-US"/>
        </w:rPr>
        <w:t xml:space="preserve"> </w:t>
      </w:r>
    </w:p>
    <w:p w14:paraId="50EF6034" w14:textId="77777777" w:rsidR="00167ACC" w:rsidRDefault="00167ACC" w:rsidP="00167ACC">
      <w:pPr>
        <w:ind w:left="-142" w:right="141"/>
        <w:rPr>
          <w:rFonts w:cs="Arial"/>
          <w:szCs w:val="24"/>
          <w:lang w:val="en-US" w:eastAsia="en-GB"/>
        </w:rPr>
      </w:pPr>
      <w:r>
        <w:rPr>
          <w:rFonts w:cs="Arial"/>
          <w:szCs w:val="24"/>
          <w:lang w:val="en-US" w:eastAsia="en-GB"/>
        </w:rPr>
        <w:t xml:space="preserve">  </w:t>
      </w:r>
    </w:p>
    <w:p w14:paraId="0A4A808A" w14:textId="5BDFBEDC" w:rsidR="00167ACC" w:rsidRDefault="00167ACC" w:rsidP="00167ACC">
      <w:pPr>
        <w:ind w:left="-142" w:right="141" w:firstLine="142"/>
        <w:rPr>
          <w:rFonts w:cs="Arial"/>
          <w:color w:val="4F81BD" w:themeColor="accent1"/>
          <w:szCs w:val="24"/>
          <w:lang w:val="en-US" w:eastAsia="en-GB"/>
        </w:rPr>
      </w:pPr>
      <w:r>
        <w:rPr>
          <w:rFonts w:cs="Arial"/>
          <w:szCs w:val="24"/>
          <w:lang w:val="en-US" w:eastAsia="en-GB"/>
        </w:rPr>
        <w:t xml:space="preserve">Separate risk </w:t>
      </w:r>
      <w:proofErr w:type="gramStart"/>
      <w:r>
        <w:rPr>
          <w:rFonts w:cs="Arial"/>
          <w:szCs w:val="24"/>
          <w:lang w:val="en-US" w:eastAsia="en-GB"/>
        </w:rPr>
        <w:t>register</w:t>
      </w:r>
      <w:proofErr w:type="gramEnd"/>
      <w:r>
        <w:rPr>
          <w:rFonts w:cs="Arial"/>
          <w:szCs w:val="24"/>
          <w:lang w:val="en-US" w:eastAsia="en-GB"/>
        </w:rPr>
        <w:t xml:space="preserve"> in place? </w:t>
      </w:r>
      <w:r>
        <w:rPr>
          <w:rFonts w:cs="Arial"/>
          <w:b/>
          <w:bCs/>
          <w:szCs w:val="24"/>
          <w:lang w:val="en-US" w:eastAsia="en-GB"/>
        </w:rPr>
        <w:t>No</w:t>
      </w:r>
      <w:r>
        <w:rPr>
          <w:rFonts w:cs="Arial"/>
          <w:szCs w:val="24"/>
          <w:lang w:val="en-US" w:eastAsia="en-GB"/>
        </w:rPr>
        <w:t xml:space="preserve"> </w:t>
      </w:r>
    </w:p>
    <w:p w14:paraId="6731D2D8" w14:textId="77777777" w:rsidR="00167ACC" w:rsidRDefault="00167ACC" w:rsidP="00167ACC">
      <w:pPr>
        <w:tabs>
          <w:tab w:val="left" w:pos="5610"/>
        </w:tabs>
        <w:ind w:left="567" w:right="81" w:hanging="567"/>
      </w:pPr>
    </w:p>
    <w:p w14:paraId="7D72A8D1" w14:textId="78EA47CF" w:rsidR="00167ACC" w:rsidRDefault="00167ACC" w:rsidP="00167ACC">
      <w:pPr>
        <w:tabs>
          <w:tab w:val="left" w:pos="5610"/>
        </w:tabs>
        <w:ind w:right="81"/>
      </w:pPr>
      <w:r>
        <w:t xml:space="preserve">The relevant risks contained in the register are attached/summarised below. </w:t>
      </w:r>
      <w:r w:rsidR="00AC1BBF">
        <w:rPr>
          <w:rFonts w:cs="Arial"/>
          <w:b/>
          <w:bCs/>
          <w:szCs w:val="24"/>
          <w:lang w:val="en-US" w:eastAsia="en-GB"/>
        </w:rPr>
        <w:t>N/A</w:t>
      </w:r>
    </w:p>
    <w:p w14:paraId="32C35FE6" w14:textId="77777777" w:rsidR="00167ACC" w:rsidRDefault="00167ACC" w:rsidP="00167ACC"/>
    <w:p w14:paraId="0C42CBB5" w14:textId="7514714A" w:rsidR="00167ACC" w:rsidRDefault="00167ACC" w:rsidP="00167ACC">
      <w:r>
        <w:t xml:space="preserve">The following key risks should be </w:t>
      </w:r>
      <w:proofErr w:type="gramStart"/>
      <w:r>
        <w:t>taken into account</w:t>
      </w:r>
      <w:proofErr w:type="gramEnd"/>
      <w:r>
        <w:t xml:space="preserve"> when agreeing the recommendations in this report:</w:t>
      </w:r>
    </w:p>
    <w:p w14:paraId="798D875D" w14:textId="77777777" w:rsidR="00167ACC" w:rsidRDefault="00167ACC" w:rsidP="00167ACC">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167ACC" w14:paraId="6CCADB40" w14:textId="77777777" w:rsidTr="009735EC">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EE5DC" w14:textId="77777777" w:rsidR="00167ACC" w:rsidRDefault="00167ACC" w:rsidP="009735EC">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4F221" w14:textId="77777777" w:rsidR="00167ACC" w:rsidRDefault="00167ACC" w:rsidP="009735EC">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C99A139" w14:textId="77777777" w:rsidR="00167ACC" w:rsidRDefault="00167ACC" w:rsidP="009735EC">
            <w:pPr>
              <w:spacing w:line="247" w:lineRule="auto"/>
              <w:ind w:left="171" w:right="141"/>
              <w:rPr>
                <w:rFonts w:cs="Arial"/>
                <w:b/>
                <w:bCs/>
                <w:szCs w:val="24"/>
                <w:lang w:val="en-US" w:eastAsia="en-GB"/>
              </w:rPr>
            </w:pPr>
            <w:r>
              <w:rPr>
                <w:rFonts w:cs="Arial"/>
                <w:b/>
                <w:bCs/>
                <w:szCs w:val="24"/>
                <w:lang w:val="en-US" w:eastAsia="en-GB"/>
              </w:rPr>
              <w:t>RAG Status</w:t>
            </w:r>
          </w:p>
        </w:tc>
      </w:tr>
      <w:tr w:rsidR="00167ACC" w14:paraId="5D4AD6C3" w14:textId="77777777" w:rsidTr="003E32F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27A39" w14:textId="4C191349" w:rsidR="00167ACC" w:rsidRPr="002F0225" w:rsidRDefault="008E49C7" w:rsidP="009735EC">
            <w:pPr>
              <w:spacing w:line="247" w:lineRule="auto"/>
              <w:ind w:right="141"/>
              <w:rPr>
                <w:rFonts w:cs="Arial"/>
                <w:sz w:val="22"/>
                <w:szCs w:val="22"/>
                <w:lang w:val="en-US" w:eastAsia="en-GB"/>
              </w:rPr>
            </w:pPr>
            <w:r w:rsidRPr="002F0225">
              <w:rPr>
                <w:rFonts w:cs="Arial"/>
                <w:sz w:val="22"/>
                <w:szCs w:val="22"/>
                <w:lang w:val="en-US" w:eastAsia="en-GB"/>
              </w:rPr>
              <w:t xml:space="preserve">PPAP </w:t>
            </w:r>
            <w:r w:rsidR="00AA63C8" w:rsidRPr="002F0225">
              <w:rPr>
                <w:rFonts w:cs="Arial"/>
                <w:sz w:val="22"/>
                <w:szCs w:val="22"/>
                <w:lang w:val="en-US" w:eastAsia="en-GB"/>
              </w:rPr>
              <w:t xml:space="preserve">do not agree for the flat conversion guidance to </w:t>
            </w:r>
            <w:r w:rsidR="009A1627">
              <w:rPr>
                <w:rFonts w:cs="Arial"/>
                <w:sz w:val="22"/>
                <w:szCs w:val="22"/>
                <w:lang w:val="en-US" w:eastAsia="en-GB"/>
              </w:rPr>
              <w:t>sit as</w:t>
            </w:r>
            <w:r w:rsidR="00AA63C8" w:rsidRPr="002F0225">
              <w:rPr>
                <w:rFonts w:cs="Arial"/>
                <w:sz w:val="22"/>
                <w:szCs w:val="22"/>
                <w:lang w:val="en-US" w:eastAsia="en-GB"/>
              </w:rPr>
              <w:t xml:space="preserve"> a chapter within the draft Small Site Design Code SPD, </w:t>
            </w:r>
            <w:r w:rsidR="00092024">
              <w:rPr>
                <w:rFonts w:cs="Arial"/>
                <w:sz w:val="22"/>
                <w:szCs w:val="22"/>
                <w:lang w:val="en-US" w:eastAsia="en-GB"/>
              </w:rPr>
              <w:t xml:space="preserve">instead seeking that it is </w:t>
            </w:r>
            <w:r w:rsidR="00C91AB8" w:rsidRPr="002F0225">
              <w:rPr>
                <w:rFonts w:cs="Arial"/>
                <w:sz w:val="22"/>
                <w:szCs w:val="22"/>
                <w:lang w:val="en-US" w:eastAsia="en-GB"/>
              </w:rPr>
              <w:t xml:space="preserve">progressed as </w:t>
            </w:r>
            <w:r w:rsidR="00AA63C8" w:rsidRPr="002F0225">
              <w:rPr>
                <w:rFonts w:cs="Arial"/>
                <w:sz w:val="22"/>
                <w:szCs w:val="22"/>
                <w:lang w:val="en-US" w:eastAsia="en-GB"/>
              </w:rPr>
              <w:t xml:space="preserve">a </w:t>
            </w:r>
            <w:r w:rsidR="000C2177" w:rsidRPr="002F0225">
              <w:rPr>
                <w:rFonts w:cs="Arial"/>
                <w:sz w:val="22"/>
                <w:szCs w:val="22"/>
                <w:lang w:val="en-US" w:eastAsia="en-GB"/>
              </w:rPr>
              <w:t xml:space="preserve">standalone </w:t>
            </w:r>
            <w:r w:rsidR="00D562CC" w:rsidRPr="002F0225">
              <w:rPr>
                <w:rFonts w:cs="Arial"/>
                <w:sz w:val="22"/>
                <w:szCs w:val="22"/>
                <w:lang w:val="en-US" w:eastAsia="en-GB"/>
              </w:rPr>
              <w:t>SPD</w:t>
            </w:r>
            <w:r w:rsidR="00092024">
              <w:rPr>
                <w:rFonts w:cs="Arial"/>
                <w:sz w:val="22"/>
                <w:szCs w:val="22"/>
                <w:lang w:val="en-US" w:eastAsia="en-GB"/>
              </w:rPr>
              <w:t xml:space="preserve"> (with additional resource implications </w:t>
            </w:r>
            <w:proofErr w:type="gramStart"/>
            <w:r w:rsidR="00092024">
              <w:rPr>
                <w:rFonts w:cs="Arial"/>
                <w:sz w:val="22"/>
                <w:szCs w:val="22"/>
                <w:lang w:val="en-US" w:eastAsia="en-GB"/>
              </w:rPr>
              <w:t>i.e.</w:t>
            </w:r>
            <w:proofErr w:type="gramEnd"/>
            <w:r w:rsidR="00092024">
              <w:rPr>
                <w:rFonts w:cs="Arial"/>
                <w:sz w:val="22"/>
                <w:szCs w:val="22"/>
                <w:lang w:val="en-US" w:eastAsia="en-GB"/>
              </w:rPr>
              <w:t xml:space="preserve"> consultation)</w:t>
            </w:r>
            <w:r w:rsidR="000C2177" w:rsidRPr="002F0225">
              <w:rPr>
                <w:rFonts w:cs="Arial"/>
                <w:sz w:val="22"/>
                <w:szCs w:val="22"/>
                <w:lang w:val="en-US" w:eastAsia="en-GB"/>
              </w:rPr>
              <w:t xml:space="preserve">. </w:t>
            </w:r>
          </w:p>
          <w:p w14:paraId="3D4A1465" w14:textId="0DD00C3F" w:rsidR="000C2177" w:rsidRPr="002F0225" w:rsidRDefault="000C2177" w:rsidP="009735EC">
            <w:pPr>
              <w:spacing w:line="247" w:lineRule="auto"/>
              <w:ind w:right="141"/>
              <w:rPr>
                <w:rFonts w:cs="Arial"/>
                <w:sz w:val="22"/>
                <w:szCs w:val="22"/>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BEEC7" w14:textId="57FD195C" w:rsidR="003B68AE" w:rsidRPr="002F0225" w:rsidRDefault="00622DBF" w:rsidP="008E49C7">
            <w:pPr>
              <w:pStyle w:val="ListParagraph"/>
              <w:numPr>
                <w:ilvl w:val="0"/>
                <w:numId w:val="1"/>
              </w:numPr>
              <w:suppressAutoHyphens/>
              <w:autoSpaceDN w:val="0"/>
              <w:spacing w:line="247" w:lineRule="auto"/>
              <w:ind w:left="171" w:right="141" w:hanging="171"/>
              <w:rPr>
                <w:lang w:val="en-US"/>
              </w:rPr>
            </w:pPr>
            <w:r w:rsidRPr="002F0225">
              <w:rPr>
                <w:lang w:val="en-US"/>
              </w:rPr>
              <w:t xml:space="preserve">Flat conversion design </w:t>
            </w:r>
            <w:r w:rsidR="00C91AB8" w:rsidRPr="002F0225">
              <w:rPr>
                <w:lang w:val="en-US"/>
              </w:rPr>
              <w:t xml:space="preserve">guidance </w:t>
            </w:r>
            <w:r w:rsidRPr="002F0225">
              <w:rPr>
                <w:lang w:val="en-US"/>
              </w:rPr>
              <w:t xml:space="preserve">chapter would build upon borough wide design principles that have been through the consultation process.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3D6AA2B" w14:textId="309D380F" w:rsidR="00167ACC" w:rsidRPr="002F0225" w:rsidRDefault="004222FF" w:rsidP="003E32FA">
            <w:pPr>
              <w:spacing w:line="247" w:lineRule="auto"/>
              <w:ind w:right="141"/>
              <w:jc w:val="center"/>
              <w:rPr>
                <w:rFonts w:cs="Arial"/>
                <w:sz w:val="22"/>
                <w:szCs w:val="22"/>
                <w:lang w:val="en-US" w:eastAsia="en-GB"/>
              </w:rPr>
            </w:pPr>
            <w:r w:rsidRPr="002F0225">
              <w:rPr>
                <w:rFonts w:cs="Arial"/>
                <w:sz w:val="22"/>
                <w:szCs w:val="22"/>
                <w:lang w:val="en-US" w:eastAsia="en-GB"/>
              </w:rPr>
              <w:t>Amber</w:t>
            </w:r>
          </w:p>
        </w:tc>
      </w:tr>
      <w:tr w:rsidR="008E49C7" w14:paraId="64DD39DA" w14:textId="77777777" w:rsidTr="003E32F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B42F5" w14:textId="77777777" w:rsidR="008E49C7" w:rsidRPr="002F0225" w:rsidRDefault="008E49C7" w:rsidP="008E49C7">
            <w:pPr>
              <w:spacing w:line="247" w:lineRule="auto"/>
              <w:ind w:right="141"/>
              <w:rPr>
                <w:rFonts w:cs="Arial"/>
                <w:sz w:val="22"/>
                <w:szCs w:val="22"/>
                <w:lang w:eastAsia="en-GB"/>
              </w:rPr>
            </w:pPr>
            <w:r w:rsidRPr="002F0225">
              <w:rPr>
                <w:rFonts w:cs="Arial"/>
                <w:sz w:val="22"/>
                <w:szCs w:val="22"/>
                <w:lang w:eastAsia="en-GB"/>
              </w:rPr>
              <w:t>Non-compliance with regulatory requirements for the preparation of any guidance (</w:t>
            </w:r>
            <w:proofErr w:type="gramStart"/>
            <w:r w:rsidRPr="002F0225">
              <w:rPr>
                <w:rFonts w:cs="Arial"/>
                <w:sz w:val="22"/>
                <w:szCs w:val="22"/>
                <w:lang w:eastAsia="en-GB"/>
              </w:rPr>
              <w:t>i.e.</w:t>
            </w:r>
            <w:proofErr w:type="gramEnd"/>
            <w:r w:rsidRPr="002F0225">
              <w:rPr>
                <w:rFonts w:cs="Arial"/>
                <w:sz w:val="22"/>
                <w:szCs w:val="22"/>
                <w:lang w:eastAsia="en-GB"/>
              </w:rPr>
              <w:t xml:space="preserve"> scope of guidance, process.)</w:t>
            </w:r>
          </w:p>
          <w:p w14:paraId="0D8B5912" w14:textId="77777777" w:rsidR="008E49C7" w:rsidRPr="002F0225" w:rsidRDefault="008E49C7" w:rsidP="009735EC">
            <w:pPr>
              <w:spacing w:line="247" w:lineRule="auto"/>
              <w:ind w:right="141"/>
              <w:rPr>
                <w:rFonts w:cs="Arial"/>
                <w:sz w:val="22"/>
                <w:szCs w:val="22"/>
                <w:lang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F6565" w14:textId="77777777" w:rsidR="008E49C7" w:rsidRPr="002F0225" w:rsidRDefault="008E49C7" w:rsidP="008E49C7">
            <w:pPr>
              <w:pStyle w:val="ListParagraph"/>
              <w:numPr>
                <w:ilvl w:val="0"/>
                <w:numId w:val="1"/>
              </w:numPr>
              <w:suppressAutoHyphens/>
              <w:autoSpaceDN w:val="0"/>
              <w:spacing w:line="247" w:lineRule="auto"/>
              <w:ind w:left="171" w:right="141" w:hanging="171"/>
              <w:rPr>
                <w:lang w:val="en-US"/>
              </w:rPr>
            </w:pPr>
            <w:r w:rsidRPr="002F0225">
              <w:t xml:space="preserve">Process managed to ensure it complies with regulatory requirements </w:t>
            </w:r>
          </w:p>
          <w:p w14:paraId="35E4D05F" w14:textId="77777777" w:rsidR="008E49C7" w:rsidRPr="002F0225" w:rsidRDefault="008E49C7" w:rsidP="002F0225">
            <w:pPr>
              <w:pStyle w:val="ListParagraph"/>
              <w:suppressAutoHyphens/>
              <w:autoSpaceDN w:val="0"/>
              <w:spacing w:line="247" w:lineRule="auto"/>
              <w:ind w:left="171" w:right="141"/>
            </w:pP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61A9545" w14:textId="4ADF5D20" w:rsidR="008E49C7" w:rsidRPr="002F0225" w:rsidRDefault="008E49C7" w:rsidP="003E32FA">
            <w:pPr>
              <w:spacing w:line="247" w:lineRule="auto"/>
              <w:ind w:right="141"/>
              <w:jc w:val="center"/>
              <w:rPr>
                <w:rFonts w:cs="Arial"/>
                <w:sz w:val="22"/>
                <w:szCs w:val="22"/>
                <w:lang w:val="en-US" w:eastAsia="en-GB"/>
              </w:rPr>
            </w:pPr>
            <w:r w:rsidRPr="002F0225">
              <w:rPr>
                <w:rFonts w:cs="Arial"/>
                <w:sz w:val="22"/>
                <w:szCs w:val="22"/>
                <w:lang w:val="en-US" w:eastAsia="en-GB"/>
              </w:rPr>
              <w:t>Green</w:t>
            </w:r>
          </w:p>
        </w:tc>
      </w:tr>
      <w:tr w:rsidR="004C5FE9" w14:paraId="1EA6BDA8" w14:textId="77777777" w:rsidTr="003E32F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3EDBD" w14:textId="287F0FE1" w:rsidR="00D2108F" w:rsidRPr="002F0225" w:rsidRDefault="00D2108F" w:rsidP="00D2108F">
            <w:pPr>
              <w:rPr>
                <w:rFonts w:cs="Arial"/>
                <w:sz w:val="22"/>
                <w:szCs w:val="22"/>
              </w:rPr>
            </w:pPr>
            <w:r w:rsidRPr="002F0225">
              <w:rPr>
                <w:rFonts w:cs="Arial"/>
                <w:sz w:val="22"/>
                <w:szCs w:val="22"/>
              </w:rPr>
              <w:t xml:space="preserve">Negative feedback from PPAP – regarding </w:t>
            </w:r>
            <w:r w:rsidR="007235E3" w:rsidRPr="002F0225">
              <w:rPr>
                <w:rFonts w:cs="Arial"/>
                <w:sz w:val="22"/>
                <w:szCs w:val="22"/>
              </w:rPr>
              <w:t xml:space="preserve">design </w:t>
            </w:r>
            <w:r w:rsidR="00E543FF" w:rsidRPr="002F0225">
              <w:rPr>
                <w:rFonts w:cs="Arial"/>
                <w:sz w:val="22"/>
                <w:szCs w:val="22"/>
              </w:rPr>
              <w:t>gu</w:t>
            </w:r>
            <w:r w:rsidR="007235E3" w:rsidRPr="002F0225">
              <w:rPr>
                <w:rFonts w:cs="Arial"/>
                <w:sz w:val="22"/>
                <w:szCs w:val="22"/>
              </w:rPr>
              <w:t xml:space="preserve">idance </w:t>
            </w:r>
          </w:p>
          <w:p w14:paraId="62BBA006" w14:textId="77777777" w:rsidR="004C5FE9" w:rsidRPr="002F0225" w:rsidRDefault="004C5FE9" w:rsidP="009735EC">
            <w:pPr>
              <w:spacing w:line="247" w:lineRule="auto"/>
              <w:ind w:right="141"/>
              <w:rPr>
                <w:rFonts w:cs="Arial"/>
                <w:sz w:val="22"/>
                <w:szCs w:val="22"/>
                <w:lang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962BA" w14:textId="48A7855C" w:rsidR="004C5FE9" w:rsidRPr="002F0225" w:rsidRDefault="00654582" w:rsidP="0044548D">
            <w:pPr>
              <w:pStyle w:val="ListParagraph"/>
              <w:numPr>
                <w:ilvl w:val="0"/>
                <w:numId w:val="1"/>
              </w:numPr>
              <w:suppressAutoHyphens/>
              <w:autoSpaceDN w:val="0"/>
              <w:spacing w:line="247" w:lineRule="auto"/>
              <w:ind w:left="171" w:right="141" w:hanging="171"/>
            </w:pPr>
            <w:r w:rsidRPr="002F0225">
              <w:t>Guidance</w:t>
            </w:r>
            <w:r w:rsidR="009736D1" w:rsidRPr="002F0225">
              <w:t xml:space="preserve"> to follow contemporary </w:t>
            </w:r>
            <w:r w:rsidRPr="002F0225">
              <w:t>design guidance from Mayor of London and Central Government</w:t>
            </w:r>
            <w:r w:rsidR="007A5FA7" w:rsidRPr="002F0225">
              <w:t>.</w:t>
            </w:r>
          </w:p>
          <w:p w14:paraId="5DB3FF0D" w14:textId="6C42E315" w:rsidR="007A5FA7" w:rsidRPr="002F0225" w:rsidRDefault="00F247CF" w:rsidP="0044548D">
            <w:pPr>
              <w:pStyle w:val="ListParagraph"/>
              <w:numPr>
                <w:ilvl w:val="0"/>
                <w:numId w:val="1"/>
              </w:numPr>
              <w:suppressAutoHyphens/>
              <w:autoSpaceDN w:val="0"/>
              <w:spacing w:line="247" w:lineRule="auto"/>
              <w:ind w:left="171" w:right="141" w:hanging="171"/>
            </w:pPr>
            <w:r w:rsidRPr="002F0225">
              <w:t xml:space="preserve">Draft guidance </w:t>
            </w:r>
            <w:proofErr w:type="gramStart"/>
            <w:r w:rsidRPr="002F0225">
              <w:t>is able to</w:t>
            </w:r>
            <w:proofErr w:type="gramEnd"/>
            <w:r w:rsidRPr="002F0225">
              <w:t xml:space="preserve"> be amended where appropriate to reflect feedback / comments from PPAP</w:t>
            </w:r>
          </w:p>
          <w:p w14:paraId="52F6F60C" w14:textId="5A20C95A" w:rsidR="00654582" w:rsidRPr="002F0225" w:rsidRDefault="00654582" w:rsidP="00654582">
            <w:pPr>
              <w:pStyle w:val="ListParagraph"/>
              <w:suppressAutoHyphens/>
              <w:autoSpaceDN w:val="0"/>
              <w:spacing w:line="247" w:lineRule="auto"/>
              <w:ind w:left="171" w:right="141"/>
            </w:pP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74A0B77" w14:textId="389F083B" w:rsidR="004C5FE9" w:rsidRPr="002F0225" w:rsidRDefault="002551D8" w:rsidP="003E32FA">
            <w:pPr>
              <w:spacing w:line="247" w:lineRule="auto"/>
              <w:ind w:right="141"/>
              <w:jc w:val="center"/>
              <w:rPr>
                <w:rFonts w:cs="Arial"/>
                <w:sz w:val="22"/>
                <w:szCs w:val="22"/>
                <w:lang w:val="en-US" w:eastAsia="en-GB"/>
              </w:rPr>
            </w:pPr>
            <w:r w:rsidRPr="002F0225">
              <w:rPr>
                <w:rFonts w:cs="Arial"/>
                <w:sz w:val="22"/>
                <w:szCs w:val="22"/>
                <w:lang w:val="en-US" w:eastAsia="en-GB"/>
              </w:rPr>
              <w:t>Green</w:t>
            </w:r>
          </w:p>
        </w:tc>
      </w:tr>
      <w:tr w:rsidR="00167ACC" w14:paraId="50394804" w14:textId="77777777" w:rsidTr="003E32F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DD7F3" w14:textId="21DBBF76" w:rsidR="00167ACC" w:rsidRPr="002F0225" w:rsidRDefault="00A07546" w:rsidP="009735EC">
            <w:pPr>
              <w:spacing w:line="247" w:lineRule="auto"/>
              <w:ind w:right="141"/>
              <w:rPr>
                <w:rFonts w:cs="Arial"/>
                <w:sz w:val="22"/>
                <w:szCs w:val="22"/>
                <w:lang w:val="en-US" w:eastAsia="en-GB"/>
              </w:rPr>
            </w:pPr>
            <w:r w:rsidRPr="002F0225">
              <w:rPr>
                <w:rFonts w:cs="Arial"/>
                <w:sz w:val="22"/>
                <w:szCs w:val="22"/>
                <w:lang w:eastAsia="en-GB"/>
              </w:rPr>
              <w:t>Non-(general) conformity / consistency with Harrow development plan (</w:t>
            </w:r>
            <w:proofErr w:type="gramStart"/>
            <w:r w:rsidRPr="002F0225">
              <w:rPr>
                <w:rFonts w:cs="Arial"/>
                <w:sz w:val="22"/>
                <w:szCs w:val="22"/>
                <w:lang w:eastAsia="en-GB"/>
              </w:rPr>
              <w:t>i.e.</w:t>
            </w:r>
            <w:proofErr w:type="gramEnd"/>
            <w:r w:rsidRPr="002F0225">
              <w:rPr>
                <w:rFonts w:cs="Arial"/>
                <w:sz w:val="22"/>
                <w:szCs w:val="22"/>
                <w:lang w:eastAsia="en-GB"/>
              </w:rPr>
              <w:t xml:space="preserve"> </w:t>
            </w:r>
            <w:r w:rsidRPr="002F0225">
              <w:rPr>
                <w:rFonts w:cs="Arial"/>
                <w:sz w:val="22"/>
                <w:szCs w:val="22"/>
                <w:lang w:eastAsia="en-GB"/>
              </w:rPr>
              <w:lastRenderedPageBreak/>
              <w:t>London Plan, Harrow Local Plan)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9B81C" w14:textId="77777777" w:rsidR="00E15967" w:rsidRPr="002B425C" w:rsidRDefault="00E070EA" w:rsidP="00570D0A">
            <w:pPr>
              <w:pStyle w:val="ListParagraph"/>
              <w:numPr>
                <w:ilvl w:val="0"/>
                <w:numId w:val="1"/>
              </w:numPr>
              <w:suppressAutoHyphens/>
              <w:autoSpaceDN w:val="0"/>
              <w:spacing w:line="247" w:lineRule="auto"/>
              <w:ind w:left="171" w:right="141" w:hanging="171"/>
              <w:rPr>
                <w:lang w:val="en-US"/>
              </w:rPr>
            </w:pPr>
            <w:r w:rsidRPr="002B425C">
              <w:lastRenderedPageBreak/>
              <w:t>Drafting to be undertaken in context of existing development plan.</w:t>
            </w:r>
          </w:p>
          <w:p w14:paraId="6DE4FAA7" w14:textId="5975E9FB" w:rsidR="00570D0A" w:rsidRPr="002B425C" w:rsidRDefault="00570D0A" w:rsidP="00570D0A">
            <w:pPr>
              <w:pStyle w:val="ListParagraph"/>
              <w:numPr>
                <w:ilvl w:val="0"/>
                <w:numId w:val="1"/>
              </w:numPr>
              <w:suppressAutoHyphens/>
              <w:autoSpaceDN w:val="0"/>
              <w:spacing w:line="247" w:lineRule="auto"/>
              <w:ind w:left="171" w:right="141" w:hanging="171"/>
              <w:rPr>
                <w:lang w:val="en-US"/>
              </w:rPr>
            </w:pPr>
            <w:r w:rsidRPr="002B425C">
              <w:lastRenderedPageBreak/>
              <w:t xml:space="preserve">Guidance will reflect cotemporary </w:t>
            </w:r>
            <w:r w:rsidR="0024081C" w:rsidRPr="002B425C">
              <w:t>legislation, strategic policy/guidance</w:t>
            </w:r>
          </w:p>
          <w:p w14:paraId="101EA2AC" w14:textId="19C32166" w:rsidR="00570D0A" w:rsidRPr="002B425C" w:rsidRDefault="00570D0A" w:rsidP="00570D0A">
            <w:pPr>
              <w:pStyle w:val="ListParagraph"/>
              <w:suppressAutoHyphens/>
              <w:autoSpaceDN w:val="0"/>
              <w:spacing w:line="247" w:lineRule="auto"/>
              <w:ind w:left="171" w:right="141"/>
              <w:rPr>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253498D" w14:textId="11F334CB" w:rsidR="00167ACC" w:rsidRPr="002F0225" w:rsidRDefault="00710275" w:rsidP="003E32FA">
            <w:pPr>
              <w:spacing w:line="247" w:lineRule="auto"/>
              <w:ind w:right="141"/>
              <w:jc w:val="center"/>
              <w:rPr>
                <w:rFonts w:cs="Arial"/>
                <w:sz w:val="22"/>
                <w:szCs w:val="22"/>
                <w:lang w:val="en-US" w:eastAsia="en-GB"/>
              </w:rPr>
            </w:pPr>
            <w:r w:rsidRPr="002F0225">
              <w:rPr>
                <w:rFonts w:cs="Arial"/>
                <w:sz w:val="22"/>
                <w:szCs w:val="22"/>
                <w:lang w:val="en-US" w:eastAsia="en-GB"/>
              </w:rPr>
              <w:lastRenderedPageBreak/>
              <w:t>Green</w:t>
            </w:r>
          </w:p>
        </w:tc>
      </w:tr>
      <w:tr w:rsidR="00FD36F8" w14:paraId="5CC2F275" w14:textId="77777777" w:rsidTr="003E32F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FC245" w14:textId="13C0CA12" w:rsidR="00FD36F8" w:rsidRPr="002F0225" w:rsidRDefault="005A3691" w:rsidP="009735EC">
            <w:pPr>
              <w:spacing w:line="247" w:lineRule="auto"/>
              <w:ind w:right="141"/>
              <w:rPr>
                <w:rFonts w:cs="Arial"/>
                <w:sz w:val="22"/>
                <w:szCs w:val="22"/>
                <w:lang w:val="en-US" w:eastAsia="en-GB"/>
              </w:rPr>
            </w:pPr>
            <w:r w:rsidRPr="002F0225">
              <w:rPr>
                <w:rFonts w:cs="Arial"/>
                <w:sz w:val="22"/>
                <w:szCs w:val="22"/>
                <w:lang w:eastAsia="en-GB"/>
              </w:rPr>
              <w:t xml:space="preserve">Broader Planning Policy / Urban Design work programs impacted upon should </w:t>
            </w:r>
            <w:proofErr w:type="gramStart"/>
            <w:r w:rsidRPr="002F0225">
              <w:rPr>
                <w:rFonts w:cs="Arial"/>
                <w:sz w:val="22"/>
                <w:szCs w:val="22"/>
                <w:lang w:eastAsia="en-GB"/>
              </w:rPr>
              <w:t>additional</w:t>
            </w:r>
            <w:proofErr w:type="gramEnd"/>
            <w:r w:rsidRPr="002F0225">
              <w:rPr>
                <w:rFonts w:cs="Arial"/>
                <w:sz w:val="22"/>
                <w:szCs w:val="22"/>
                <w:lang w:eastAsia="en-GB"/>
              </w:rPr>
              <w:t xml:space="preserve"> resources to undertake the work outlined in this report not be forthcoming</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C9C39" w14:textId="24945565" w:rsidR="00E15967" w:rsidRPr="002B425C" w:rsidRDefault="002B425C" w:rsidP="002B425C">
            <w:pPr>
              <w:pStyle w:val="ListParagraph"/>
              <w:numPr>
                <w:ilvl w:val="0"/>
                <w:numId w:val="1"/>
              </w:numPr>
              <w:suppressAutoHyphens/>
              <w:autoSpaceDN w:val="0"/>
              <w:spacing w:line="247" w:lineRule="auto"/>
              <w:ind w:left="171" w:right="141" w:hanging="171"/>
              <w:rPr>
                <w:lang w:val="en-US"/>
              </w:rPr>
            </w:pPr>
            <w:r w:rsidRPr="002B425C">
              <w:t>Broader work programmes adjusted to reflect the priority given to the preparation of the SPD within existing resources</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F1F14E" w14:textId="4196757C" w:rsidR="00FD36F8" w:rsidRPr="002F0225" w:rsidRDefault="002B425C" w:rsidP="003E32FA">
            <w:pPr>
              <w:spacing w:line="247" w:lineRule="auto"/>
              <w:ind w:right="141"/>
              <w:jc w:val="center"/>
              <w:rPr>
                <w:rFonts w:cs="Arial"/>
                <w:sz w:val="22"/>
                <w:szCs w:val="22"/>
                <w:lang w:val="en-US" w:eastAsia="en-GB"/>
              </w:rPr>
            </w:pPr>
            <w:r>
              <w:rPr>
                <w:rFonts w:cs="Arial"/>
                <w:sz w:val="22"/>
                <w:szCs w:val="22"/>
                <w:lang w:val="en-US" w:eastAsia="en-GB"/>
              </w:rPr>
              <w:t>Green</w:t>
            </w:r>
          </w:p>
        </w:tc>
      </w:tr>
      <w:tr w:rsidR="00070082" w14:paraId="51EFF699" w14:textId="77777777" w:rsidTr="003E32F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28654" w14:textId="232D8317" w:rsidR="00070082" w:rsidRDefault="00070082" w:rsidP="009735EC">
            <w:pPr>
              <w:spacing w:line="247" w:lineRule="auto"/>
              <w:ind w:right="141"/>
              <w:rPr>
                <w:rFonts w:cs="Arial"/>
                <w:sz w:val="22"/>
                <w:szCs w:val="22"/>
                <w:lang w:eastAsia="en-GB"/>
              </w:rPr>
            </w:pPr>
            <w:r>
              <w:rPr>
                <w:rFonts w:cs="Arial"/>
                <w:sz w:val="22"/>
                <w:szCs w:val="22"/>
                <w:lang w:eastAsia="en-GB"/>
              </w:rPr>
              <w:t xml:space="preserve">Not undertaking full consultation as part of the flat </w:t>
            </w:r>
            <w:r w:rsidR="001E34F9">
              <w:rPr>
                <w:rFonts w:cs="Arial"/>
                <w:sz w:val="22"/>
                <w:szCs w:val="22"/>
                <w:lang w:eastAsia="en-GB"/>
              </w:rPr>
              <w:t>conversion</w:t>
            </w:r>
            <w:r>
              <w:rPr>
                <w:rFonts w:cs="Arial"/>
                <w:sz w:val="22"/>
                <w:szCs w:val="22"/>
                <w:lang w:eastAsia="en-GB"/>
              </w:rPr>
              <w:t xml:space="preserve"> </w:t>
            </w:r>
            <w:r w:rsidR="001E34F9">
              <w:rPr>
                <w:rFonts w:cs="Arial"/>
                <w:sz w:val="22"/>
                <w:szCs w:val="22"/>
                <w:lang w:eastAsia="en-GB"/>
              </w:rPr>
              <w:t>guidance</w:t>
            </w:r>
            <w:r>
              <w:rPr>
                <w:rFonts w:cs="Arial"/>
                <w:sz w:val="22"/>
                <w:szCs w:val="22"/>
                <w:lang w:eastAsia="en-GB"/>
              </w:rPr>
              <w:t xml:space="preserve">, rather, </w:t>
            </w:r>
            <w:r w:rsidR="001E34F9">
              <w:rPr>
                <w:rFonts w:cs="Arial"/>
                <w:sz w:val="22"/>
                <w:szCs w:val="22"/>
                <w:lang w:eastAsia="en-GB"/>
              </w:rPr>
              <w:t xml:space="preserve">including it as part of a document that has already been though consultation (Draft Small Sites Design Code SPD). </w:t>
            </w:r>
          </w:p>
          <w:p w14:paraId="6922055A" w14:textId="3C78FDEF" w:rsidR="001E34F9" w:rsidRPr="002F0225" w:rsidRDefault="001E34F9" w:rsidP="009735EC">
            <w:pPr>
              <w:spacing w:line="247" w:lineRule="auto"/>
              <w:ind w:right="141"/>
              <w:rPr>
                <w:rFonts w:cs="Arial"/>
                <w:sz w:val="22"/>
                <w:szCs w:val="22"/>
                <w:lang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47ED" w14:textId="0D708B15" w:rsidR="00070082" w:rsidRDefault="001B35AE" w:rsidP="0044548D">
            <w:pPr>
              <w:pStyle w:val="ListParagraph"/>
              <w:numPr>
                <w:ilvl w:val="0"/>
                <w:numId w:val="1"/>
              </w:numPr>
              <w:suppressAutoHyphens/>
              <w:autoSpaceDN w:val="0"/>
              <w:spacing w:line="247" w:lineRule="auto"/>
              <w:ind w:left="171" w:right="141" w:hanging="171"/>
            </w:pPr>
            <w:r>
              <w:t xml:space="preserve">Flat conversion guidance would be brought forward consistent with </w:t>
            </w:r>
            <w:r w:rsidR="003A559A">
              <w:t>bor</w:t>
            </w:r>
            <w:r w:rsidR="00C254B4">
              <w:t>o</w:t>
            </w:r>
            <w:r w:rsidR="003A559A">
              <w:t xml:space="preserve">ugh wide </w:t>
            </w:r>
            <w:r w:rsidR="008237DB">
              <w:t xml:space="preserve">design principles </w:t>
            </w:r>
            <w:r w:rsidR="003A559A">
              <w:t xml:space="preserve">and </w:t>
            </w:r>
            <w:r w:rsidR="00C254B4">
              <w:t xml:space="preserve">residential design guidance </w:t>
            </w:r>
            <w:r w:rsidR="008237DB">
              <w:t>that have already been through the consultation process</w:t>
            </w:r>
            <w:r w:rsidR="003A559A">
              <w:t xml:space="preserve"> as per the draft Small Sites Design Code SPD.</w:t>
            </w:r>
            <w:r w:rsidR="008237DB">
              <w:t xml:space="preserve"> </w:t>
            </w:r>
          </w:p>
          <w:p w14:paraId="31944B71" w14:textId="4BA3FA6D" w:rsidR="00E85932" w:rsidRDefault="00E85932" w:rsidP="0044548D">
            <w:pPr>
              <w:pStyle w:val="ListParagraph"/>
              <w:numPr>
                <w:ilvl w:val="0"/>
                <w:numId w:val="1"/>
              </w:numPr>
              <w:suppressAutoHyphens/>
              <w:autoSpaceDN w:val="0"/>
              <w:spacing w:line="247" w:lineRule="auto"/>
              <w:ind w:left="171" w:right="141" w:hanging="171"/>
            </w:pPr>
            <w:r>
              <w:t xml:space="preserve">New </w:t>
            </w:r>
            <w:r w:rsidR="000A6245">
              <w:t>principles</w:t>
            </w:r>
            <w:r w:rsidR="00571E26">
              <w:t xml:space="preserve"> and </w:t>
            </w:r>
            <w:r w:rsidR="000A6245">
              <w:t>guidance</w:t>
            </w:r>
            <w:r w:rsidR="00571E26">
              <w:t xml:space="preserve"> not previously </w:t>
            </w:r>
            <w:r w:rsidR="000A6245">
              <w:t>consulted</w:t>
            </w:r>
            <w:r w:rsidR="00571E26">
              <w:t xml:space="preserve"> upon, </w:t>
            </w:r>
            <w:r w:rsidR="00DF44A6">
              <w:t>have been introduced to</w:t>
            </w:r>
            <w:r w:rsidR="00571E26">
              <w:t xml:space="preserve"> directly respond to </w:t>
            </w:r>
            <w:r w:rsidR="000A6245">
              <w:t>specific</w:t>
            </w:r>
            <w:r w:rsidR="00571E26">
              <w:t xml:space="preserve"> </w:t>
            </w:r>
            <w:r w:rsidR="000A6245">
              <w:t>consultation</w:t>
            </w:r>
            <w:r w:rsidR="00571E26">
              <w:t xml:space="preserve"> </w:t>
            </w:r>
            <w:r w:rsidR="000A6245">
              <w:t>feedback</w:t>
            </w:r>
            <w:r w:rsidR="00571E26">
              <w:t xml:space="preserve">, being </w:t>
            </w:r>
            <w:r w:rsidR="000A6245">
              <w:t xml:space="preserve">the improvement of flat conversions. </w:t>
            </w:r>
          </w:p>
          <w:p w14:paraId="59342E47" w14:textId="31B5014E" w:rsidR="005E4C89" w:rsidRPr="002F0225" w:rsidRDefault="005E4C89" w:rsidP="00DF44A6">
            <w:pPr>
              <w:pStyle w:val="ListParagraph"/>
              <w:suppressAutoHyphens/>
              <w:autoSpaceDN w:val="0"/>
              <w:spacing w:line="247" w:lineRule="auto"/>
              <w:ind w:left="171" w:right="141"/>
            </w:pPr>
          </w:p>
        </w:tc>
        <w:tc>
          <w:tcPr>
            <w:tcW w:w="207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E038CD" w14:textId="726BA848" w:rsidR="00070082" w:rsidRPr="002F0225" w:rsidRDefault="00620418" w:rsidP="003E32FA">
            <w:pPr>
              <w:spacing w:line="247" w:lineRule="auto"/>
              <w:ind w:right="141"/>
              <w:jc w:val="center"/>
              <w:rPr>
                <w:rFonts w:cs="Arial"/>
                <w:sz w:val="22"/>
                <w:szCs w:val="22"/>
                <w:lang w:val="en-US" w:eastAsia="en-GB"/>
              </w:rPr>
            </w:pPr>
            <w:r>
              <w:rPr>
                <w:rFonts w:cs="Arial"/>
                <w:sz w:val="22"/>
                <w:szCs w:val="22"/>
                <w:lang w:val="en-US" w:eastAsia="en-GB"/>
              </w:rPr>
              <w:t>Amber</w:t>
            </w:r>
          </w:p>
        </w:tc>
      </w:tr>
    </w:tbl>
    <w:p w14:paraId="1FFF7463" w14:textId="16D54024" w:rsidR="008D0B76" w:rsidRDefault="001774A3" w:rsidP="003E32FA">
      <w:pPr>
        <w:pStyle w:val="Heading3"/>
        <w:keepNext/>
        <w:spacing w:before="240"/>
      </w:pPr>
      <w:r>
        <w:t>1</w:t>
      </w:r>
      <w:r w:rsidR="00E313A3">
        <w:t>7</w:t>
      </w:r>
      <w:r>
        <w:t>.0</w:t>
      </w:r>
      <w:r>
        <w:tab/>
      </w:r>
      <w:r w:rsidR="008D0B76">
        <w:t>Legal Implications</w:t>
      </w:r>
    </w:p>
    <w:p w14:paraId="2620D049" w14:textId="77777777" w:rsidR="008D0B76" w:rsidRDefault="008D0B76" w:rsidP="003E32FA">
      <w:pPr>
        <w:keepNext/>
      </w:pPr>
    </w:p>
    <w:p w14:paraId="23F9E2DF" w14:textId="77777777" w:rsidR="000E29A0" w:rsidRPr="003F382E" w:rsidRDefault="000E29A0" w:rsidP="000E29A0">
      <w:pPr>
        <w:ind w:left="720" w:hanging="720"/>
        <w:jc w:val="both"/>
        <w:rPr>
          <w:szCs w:val="24"/>
        </w:rPr>
      </w:pPr>
      <w:r w:rsidRPr="003F382E">
        <w:rPr>
          <w:szCs w:val="24"/>
        </w:rPr>
        <w:t>1</w:t>
      </w:r>
      <w:r>
        <w:rPr>
          <w:szCs w:val="24"/>
        </w:rPr>
        <w:t>7</w:t>
      </w:r>
      <w:r w:rsidRPr="003F382E">
        <w:rPr>
          <w:szCs w:val="24"/>
        </w:rPr>
        <w:t>.1</w:t>
      </w:r>
      <w:r w:rsidRPr="003F382E">
        <w:rPr>
          <w:szCs w:val="24"/>
        </w:rPr>
        <w:tab/>
        <w:t>Section 38(6) of the Planning and Compulsory Purchase Act (2004) states that, if regard is to be had to the development plan for the purpose of any determination to be made under the planning Acts, the determination must be made in accordance with the plan unless material considerations indicate otherwise.</w:t>
      </w:r>
    </w:p>
    <w:p w14:paraId="44814227" w14:textId="77777777" w:rsidR="000E29A0" w:rsidRPr="003F382E" w:rsidRDefault="000E29A0" w:rsidP="000E29A0">
      <w:pPr>
        <w:ind w:left="720" w:hanging="720"/>
        <w:jc w:val="both"/>
        <w:rPr>
          <w:szCs w:val="24"/>
        </w:rPr>
      </w:pPr>
    </w:p>
    <w:p w14:paraId="2DD3B467" w14:textId="77777777" w:rsidR="000E29A0" w:rsidRDefault="000E29A0" w:rsidP="000E29A0">
      <w:pPr>
        <w:ind w:left="720" w:hanging="720"/>
        <w:jc w:val="both"/>
        <w:rPr>
          <w:szCs w:val="24"/>
        </w:rPr>
      </w:pPr>
      <w:r w:rsidRPr="003F382E">
        <w:rPr>
          <w:szCs w:val="24"/>
        </w:rPr>
        <w:t>1</w:t>
      </w:r>
      <w:r>
        <w:rPr>
          <w:szCs w:val="24"/>
        </w:rPr>
        <w:t>7</w:t>
      </w:r>
      <w:r w:rsidRPr="003F382E">
        <w:rPr>
          <w:szCs w:val="24"/>
        </w:rPr>
        <w:t>.2</w:t>
      </w:r>
      <w:r w:rsidRPr="003F382E">
        <w:rPr>
          <w:szCs w:val="24"/>
        </w:rPr>
        <w:tab/>
        <w:t xml:space="preserve">Although the proposed SPD is not a development plan document it will, on adoption, be a material consideration in the determination of </w:t>
      </w:r>
      <w:r>
        <w:rPr>
          <w:szCs w:val="24"/>
        </w:rPr>
        <w:t xml:space="preserve">small site developments, that will also include flat conversions and residential extension </w:t>
      </w:r>
      <w:r w:rsidRPr="003F382E">
        <w:rPr>
          <w:szCs w:val="24"/>
        </w:rPr>
        <w:t xml:space="preserve">development proposals within Harrow. </w:t>
      </w:r>
    </w:p>
    <w:p w14:paraId="2DBC8BEA" w14:textId="77777777" w:rsidR="000E29A0" w:rsidRDefault="000E29A0" w:rsidP="000E29A0">
      <w:pPr>
        <w:ind w:left="720" w:hanging="720"/>
        <w:jc w:val="both"/>
        <w:rPr>
          <w:szCs w:val="24"/>
        </w:rPr>
      </w:pPr>
    </w:p>
    <w:p w14:paraId="35506833" w14:textId="77777777" w:rsidR="000E29A0" w:rsidRPr="003F382E" w:rsidRDefault="000E29A0" w:rsidP="000E29A0">
      <w:pPr>
        <w:ind w:left="720" w:hanging="720"/>
        <w:jc w:val="both"/>
        <w:rPr>
          <w:szCs w:val="24"/>
        </w:rPr>
      </w:pPr>
      <w:r>
        <w:rPr>
          <w:szCs w:val="24"/>
        </w:rPr>
        <w:t>17.3</w:t>
      </w:r>
      <w:r>
        <w:rPr>
          <w:szCs w:val="24"/>
        </w:rPr>
        <w:tab/>
      </w:r>
      <w:r w:rsidRPr="003F382E">
        <w:rPr>
          <w:szCs w:val="24"/>
        </w:rPr>
        <w:t>The Town and Country Planning (Local Planning) (England) Regulations 2012</w:t>
      </w:r>
      <w:r>
        <w:rPr>
          <w:szCs w:val="24"/>
        </w:rPr>
        <w:t xml:space="preserve"> (“Regulations”)</w:t>
      </w:r>
      <w:r w:rsidRPr="003F382E">
        <w:rPr>
          <w:szCs w:val="24"/>
        </w:rPr>
        <w:t xml:space="preserve"> provide guidance on the preparation and adoption of supplementary planning documents.</w:t>
      </w:r>
    </w:p>
    <w:p w14:paraId="68BA3E59" w14:textId="77777777" w:rsidR="000E29A0" w:rsidRPr="003F382E" w:rsidRDefault="000E29A0" w:rsidP="000E29A0">
      <w:pPr>
        <w:ind w:left="720" w:hanging="720"/>
        <w:jc w:val="both"/>
        <w:rPr>
          <w:szCs w:val="24"/>
        </w:rPr>
      </w:pPr>
    </w:p>
    <w:p w14:paraId="4BF6C3A8" w14:textId="77777777" w:rsidR="000E29A0" w:rsidRDefault="000E29A0" w:rsidP="000E29A0">
      <w:pPr>
        <w:ind w:left="720" w:hanging="720"/>
        <w:jc w:val="both"/>
        <w:rPr>
          <w:szCs w:val="24"/>
        </w:rPr>
      </w:pPr>
      <w:r w:rsidRPr="003F382E">
        <w:rPr>
          <w:szCs w:val="24"/>
        </w:rPr>
        <w:t>1</w:t>
      </w:r>
      <w:r>
        <w:rPr>
          <w:szCs w:val="24"/>
        </w:rPr>
        <w:t>7</w:t>
      </w:r>
      <w:r w:rsidRPr="003F382E">
        <w:rPr>
          <w:szCs w:val="24"/>
        </w:rPr>
        <w:t>.4</w:t>
      </w:r>
      <w:r w:rsidRPr="003F382E">
        <w:rPr>
          <w:szCs w:val="24"/>
        </w:rPr>
        <w:tab/>
      </w:r>
      <w:r>
        <w:rPr>
          <w:szCs w:val="24"/>
        </w:rPr>
        <w:t xml:space="preserve">Under Regulation 12 of the Regulations, the </w:t>
      </w:r>
      <w:r w:rsidRPr="003F382E">
        <w:rPr>
          <w:szCs w:val="24"/>
        </w:rPr>
        <w:t xml:space="preserve">Council is required to consult on the SPD and to </w:t>
      </w:r>
      <w:proofErr w:type="gramStart"/>
      <w:r w:rsidRPr="003F382E">
        <w:rPr>
          <w:szCs w:val="24"/>
        </w:rPr>
        <w:t>take into account</w:t>
      </w:r>
      <w:proofErr w:type="gramEnd"/>
      <w:r w:rsidRPr="003F382E">
        <w:rPr>
          <w:szCs w:val="24"/>
        </w:rPr>
        <w:t xml:space="preserve"> all consultation responses received before adopting the SPD. </w:t>
      </w:r>
    </w:p>
    <w:p w14:paraId="54BCF060" w14:textId="77777777" w:rsidR="000E29A0" w:rsidRDefault="000E29A0" w:rsidP="000E29A0">
      <w:pPr>
        <w:ind w:left="720" w:hanging="720"/>
        <w:jc w:val="both"/>
        <w:rPr>
          <w:szCs w:val="24"/>
        </w:rPr>
      </w:pPr>
    </w:p>
    <w:p w14:paraId="6F5E85BD" w14:textId="77777777" w:rsidR="000E29A0" w:rsidRPr="003F382E" w:rsidRDefault="000E29A0" w:rsidP="000E29A0">
      <w:pPr>
        <w:ind w:left="720" w:hanging="720"/>
        <w:jc w:val="both"/>
        <w:rPr>
          <w:szCs w:val="24"/>
        </w:rPr>
      </w:pPr>
      <w:r>
        <w:rPr>
          <w:szCs w:val="24"/>
        </w:rPr>
        <w:lastRenderedPageBreak/>
        <w:t>17.5</w:t>
      </w:r>
      <w:r>
        <w:rPr>
          <w:szCs w:val="24"/>
        </w:rPr>
        <w:tab/>
        <w:t>Further, Regulation 14 of the Regulations requires that a</w:t>
      </w:r>
      <w:r w:rsidRPr="003F382E">
        <w:rPr>
          <w:szCs w:val="24"/>
        </w:rPr>
        <w:t>s soon as reasonably practicable after adopting an SPD, the Council must (</w:t>
      </w:r>
      <w:proofErr w:type="spellStart"/>
      <w:r w:rsidRPr="003F382E">
        <w:rPr>
          <w:szCs w:val="24"/>
        </w:rPr>
        <w:t>i</w:t>
      </w:r>
      <w:proofErr w:type="spellEnd"/>
      <w:r w:rsidRPr="003F382E">
        <w:rPr>
          <w:szCs w:val="24"/>
        </w:rPr>
        <w:t xml:space="preserve">) make available the SPD and an adoption statement and (ii) send a copy of the adoption statement to any person who asked to be notified of the adoption of the SPD. </w:t>
      </w:r>
    </w:p>
    <w:p w14:paraId="79A96F1E" w14:textId="3C2914DC" w:rsidR="005441BD" w:rsidRDefault="00FC6DBD" w:rsidP="003E32FA">
      <w:pPr>
        <w:pStyle w:val="Heading3"/>
        <w:keepNext/>
        <w:spacing w:before="240"/>
      </w:pPr>
      <w:r>
        <w:t>1</w:t>
      </w:r>
      <w:r w:rsidR="00E313A3">
        <w:t>8</w:t>
      </w:r>
      <w:r>
        <w:t>.0</w:t>
      </w:r>
      <w:r>
        <w:tab/>
      </w:r>
      <w:r w:rsidR="005441BD">
        <w:t>Financial Implications</w:t>
      </w:r>
    </w:p>
    <w:p w14:paraId="7418BCF8" w14:textId="77777777" w:rsidR="008D0B76" w:rsidRDefault="008D0B76" w:rsidP="003E32FA">
      <w:pPr>
        <w:keepNext/>
      </w:pPr>
    </w:p>
    <w:p w14:paraId="1AC325FC" w14:textId="45523A92" w:rsidR="00A274AC" w:rsidRDefault="00FC6DBD" w:rsidP="0013621D">
      <w:pPr>
        <w:ind w:left="720" w:hanging="720"/>
        <w:jc w:val="both"/>
        <w:rPr>
          <w:szCs w:val="24"/>
        </w:rPr>
      </w:pPr>
      <w:r>
        <w:rPr>
          <w:szCs w:val="24"/>
        </w:rPr>
        <w:t>1</w:t>
      </w:r>
      <w:r w:rsidR="00E313A3">
        <w:rPr>
          <w:szCs w:val="24"/>
        </w:rPr>
        <w:t>8</w:t>
      </w:r>
      <w:r>
        <w:rPr>
          <w:szCs w:val="24"/>
        </w:rPr>
        <w:t>.1</w:t>
      </w:r>
      <w:r>
        <w:rPr>
          <w:szCs w:val="24"/>
        </w:rPr>
        <w:tab/>
      </w:r>
      <w:r w:rsidR="007636AB" w:rsidRPr="003F382E">
        <w:rPr>
          <w:szCs w:val="24"/>
        </w:rPr>
        <w:t xml:space="preserve">The cost of preparing and implementing the guidance </w:t>
      </w:r>
      <w:r w:rsidR="00AB0677">
        <w:rPr>
          <w:szCs w:val="24"/>
        </w:rPr>
        <w:t xml:space="preserve">the draft Small Sites Design Code SPD (including the inclusion of </w:t>
      </w:r>
      <w:r w:rsidR="0013621D">
        <w:rPr>
          <w:szCs w:val="24"/>
        </w:rPr>
        <w:t>design guidance for flat conversions and residential conversions)</w:t>
      </w:r>
      <w:r w:rsidR="007636AB" w:rsidRPr="003F382E">
        <w:rPr>
          <w:szCs w:val="24"/>
        </w:rPr>
        <w:t xml:space="preserve"> will be met from Planning Policy Team </w:t>
      </w:r>
      <w:r w:rsidR="007636AB">
        <w:rPr>
          <w:szCs w:val="24"/>
        </w:rPr>
        <w:t xml:space="preserve">and Development Management (Urban Design) </w:t>
      </w:r>
      <w:r w:rsidR="007636AB" w:rsidRPr="003F382E">
        <w:rPr>
          <w:szCs w:val="24"/>
        </w:rPr>
        <w:t>resources.</w:t>
      </w:r>
    </w:p>
    <w:p w14:paraId="2B175A09" w14:textId="064E0AFA" w:rsidR="000D5D8B" w:rsidRPr="001E262A" w:rsidRDefault="00FC6DBD" w:rsidP="003E32FA">
      <w:pPr>
        <w:pStyle w:val="Heading3"/>
        <w:keepNext/>
        <w:spacing w:before="240"/>
      </w:pPr>
      <w:r w:rsidRPr="001E262A">
        <w:t>1</w:t>
      </w:r>
      <w:r w:rsidR="00E313A3" w:rsidRPr="001E262A">
        <w:t>9</w:t>
      </w:r>
      <w:r w:rsidRPr="001E262A">
        <w:t>.0</w:t>
      </w:r>
      <w:r w:rsidRPr="001E262A">
        <w:tab/>
      </w:r>
      <w:r w:rsidR="000D5D8B" w:rsidRPr="001E262A">
        <w:t>Equalities implications / Public Sector Equality Duty</w:t>
      </w:r>
    </w:p>
    <w:p w14:paraId="75A86929" w14:textId="77777777" w:rsidR="001E262A" w:rsidRDefault="001E262A" w:rsidP="003E32FA">
      <w:pPr>
        <w:keepNext/>
        <w:autoSpaceDE w:val="0"/>
        <w:autoSpaceDN w:val="0"/>
        <w:adjustRightInd w:val="0"/>
        <w:ind w:left="720" w:hanging="720"/>
        <w:rPr>
          <w:szCs w:val="24"/>
        </w:rPr>
      </w:pPr>
    </w:p>
    <w:p w14:paraId="2A5BC6DD" w14:textId="048B78DD" w:rsidR="00610C3A" w:rsidRDefault="00610C3A" w:rsidP="003E32FA">
      <w:pPr>
        <w:keepNext/>
        <w:autoSpaceDE w:val="0"/>
        <w:autoSpaceDN w:val="0"/>
        <w:adjustRightInd w:val="0"/>
        <w:ind w:left="720" w:hanging="720"/>
        <w:rPr>
          <w:rFonts w:cs="Arial"/>
          <w:szCs w:val="24"/>
          <w:lang w:eastAsia="en-GB"/>
        </w:rPr>
      </w:pPr>
      <w:r>
        <w:rPr>
          <w:szCs w:val="24"/>
        </w:rPr>
        <w:t>19.1</w:t>
      </w:r>
      <w:r>
        <w:rPr>
          <w:szCs w:val="24"/>
        </w:rPr>
        <w:tab/>
        <w:t>T</w:t>
      </w:r>
      <w:r>
        <w:rPr>
          <w:rFonts w:cs="Arial"/>
          <w:szCs w:val="24"/>
          <w:lang w:eastAsia="en-GB"/>
        </w:rPr>
        <w:t xml:space="preserve">he Council has a public sector equality duty under section 149 of the Equality Act 2010 (“the Act”) to have ‘due regard’ to the following when exercising any of its functions: </w:t>
      </w:r>
    </w:p>
    <w:p w14:paraId="1DE8E527" w14:textId="77777777" w:rsidR="00610C3A" w:rsidRDefault="00610C3A" w:rsidP="003E32FA">
      <w:pPr>
        <w:keepNext/>
        <w:autoSpaceDE w:val="0"/>
        <w:autoSpaceDN w:val="0"/>
        <w:adjustRightInd w:val="0"/>
        <w:ind w:left="720"/>
        <w:rPr>
          <w:rFonts w:cs="Arial"/>
          <w:szCs w:val="24"/>
          <w:lang w:eastAsia="en-GB"/>
        </w:rPr>
      </w:pPr>
    </w:p>
    <w:p w14:paraId="0AABCCFB" w14:textId="77777777" w:rsidR="00610C3A" w:rsidRPr="00BF4307" w:rsidRDefault="00610C3A" w:rsidP="003E32FA">
      <w:pPr>
        <w:pStyle w:val="ListParagraph"/>
        <w:numPr>
          <w:ilvl w:val="0"/>
          <w:numId w:val="27"/>
        </w:numPr>
        <w:autoSpaceDE w:val="0"/>
        <w:autoSpaceDN w:val="0"/>
        <w:adjustRightInd w:val="0"/>
        <w:ind w:left="1276" w:hanging="567"/>
        <w:rPr>
          <w:szCs w:val="24"/>
        </w:rPr>
      </w:pPr>
      <w:r w:rsidRPr="00BF4307">
        <w:rPr>
          <w:szCs w:val="24"/>
        </w:rPr>
        <w:t xml:space="preserve">Eliminating </w:t>
      </w:r>
      <w:r>
        <w:rPr>
          <w:szCs w:val="24"/>
        </w:rPr>
        <w:t xml:space="preserve">unlawful </w:t>
      </w:r>
      <w:r w:rsidRPr="00BF4307">
        <w:rPr>
          <w:szCs w:val="24"/>
        </w:rPr>
        <w:t>discrimination</w:t>
      </w:r>
      <w:r w:rsidRPr="00D72857">
        <w:rPr>
          <w:bCs/>
          <w:iCs/>
          <w:sz w:val="24"/>
          <w:szCs w:val="24"/>
        </w:rPr>
        <w:t xml:space="preserve">, harassment and victimisation and other conduct prohibited by the </w:t>
      </w:r>
      <w:proofErr w:type="gramStart"/>
      <w:r w:rsidRPr="00D72857">
        <w:rPr>
          <w:bCs/>
          <w:iCs/>
          <w:sz w:val="24"/>
          <w:szCs w:val="24"/>
        </w:rPr>
        <w:t>Act</w:t>
      </w:r>
      <w:r>
        <w:rPr>
          <w:bCs/>
          <w:iCs/>
          <w:sz w:val="24"/>
          <w:szCs w:val="24"/>
        </w:rPr>
        <w:t>;</w:t>
      </w:r>
      <w:proofErr w:type="gramEnd"/>
      <w:r w:rsidRPr="00BF4307">
        <w:rPr>
          <w:szCs w:val="24"/>
        </w:rPr>
        <w:t xml:space="preserve"> </w:t>
      </w:r>
    </w:p>
    <w:p w14:paraId="7BE37B6B" w14:textId="7B6F816A" w:rsidR="00610C3A" w:rsidRPr="00E238F3" w:rsidRDefault="00610C3A" w:rsidP="003E32FA">
      <w:pPr>
        <w:pStyle w:val="ListParagraph"/>
        <w:numPr>
          <w:ilvl w:val="0"/>
          <w:numId w:val="27"/>
        </w:numPr>
        <w:autoSpaceDE w:val="0"/>
        <w:autoSpaceDN w:val="0"/>
        <w:adjustRightInd w:val="0"/>
        <w:ind w:left="1276" w:hanging="567"/>
        <w:rPr>
          <w:szCs w:val="24"/>
        </w:rPr>
      </w:pPr>
      <w:r w:rsidRPr="003A62F3">
        <w:rPr>
          <w:szCs w:val="24"/>
        </w:rPr>
        <w:t>advancing equality of opportunity</w:t>
      </w:r>
      <w:r>
        <w:rPr>
          <w:szCs w:val="24"/>
        </w:rPr>
        <w:t>;</w:t>
      </w:r>
      <w:r w:rsidRPr="003A62F3">
        <w:rPr>
          <w:szCs w:val="24"/>
        </w:rPr>
        <w:t xml:space="preserve"> and</w:t>
      </w:r>
    </w:p>
    <w:p w14:paraId="6102A796" w14:textId="77777777" w:rsidR="00610C3A" w:rsidRPr="00F51B26" w:rsidRDefault="00610C3A" w:rsidP="003E32FA">
      <w:pPr>
        <w:pStyle w:val="ListParagraph"/>
        <w:numPr>
          <w:ilvl w:val="0"/>
          <w:numId w:val="27"/>
        </w:numPr>
        <w:autoSpaceDE w:val="0"/>
        <w:autoSpaceDN w:val="0"/>
        <w:adjustRightInd w:val="0"/>
        <w:ind w:left="1276" w:hanging="567"/>
        <w:rPr>
          <w:szCs w:val="24"/>
        </w:rPr>
      </w:pPr>
      <w:r w:rsidRPr="00495115">
        <w:rPr>
          <w:szCs w:val="24"/>
        </w:rPr>
        <w:t xml:space="preserve">fostering good relations </w:t>
      </w:r>
      <w:r w:rsidRPr="00617A10">
        <w:rPr>
          <w:szCs w:val="24"/>
        </w:rPr>
        <w:t xml:space="preserve">between </w:t>
      </w:r>
      <w:r w:rsidRPr="003A67AE">
        <w:rPr>
          <w:szCs w:val="24"/>
        </w:rPr>
        <w:t xml:space="preserve">persons who </w:t>
      </w:r>
      <w:r w:rsidRPr="00745913">
        <w:rPr>
          <w:szCs w:val="24"/>
        </w:rPr>
        <w:t>share</w:t>
      </w:r>
      <w:r w:rsidRPr="00A03744">
        <w:rPr>
          <w:szCs w:val="24"/>
        </w:rPr>
        <w:t xml:space="preserve"> a relevant protected characteristic and those who do not share it. </w:t>
      </w:r>
    </w:p>
    <w:p w14:paraId="3DE41F1A" w14:textId="77777777" w:rsidR="00610C3A" w:rsidRDefault="00610C3A" w:rsidP="00610C3A">
      <w:pPr>
        <w:autoSpaceDE w:val="0"/>
        <w:autoSpaceDN w:val="0"/>
        <w:adjustRightInd w:val="0"/>
        <w:rPr>
          <w:rFonts w:cs="Arial"/>
          <w:szCs w:val="24"/>
          <w:lang w:eastAsia="en-GB"/>
        </w:rPr>
      </w:pPr>
    </w:p>
    <w:p w14:paraId="7389FAB7" w14:textId="77777777" w:rsidR="00610C3A" w:rsidRDefault="00610C3A" w:rsidP="00610C3A">
      <w:pPr>
        <w:autoSpaceDE w:val="0"/>
        <w:autoSpaceDN w:val="0"/>
        <w:adjustRightInd w:val="0"/>
        <w:rPr>
          <w:rFonts w:cs="Arial"/>
          <w:szCs w:val="24"/>
          <w:lang w:eastAsia="en-GB"/>
        </w:rPr>
      </w:pPr>
      <w:r>
        <w:rPr>
          <w:rFonts w:cs="Arial"/>
          <w:szCs w:val="24"/>
          <w:lang w:eastAsia="en-GB"/>
        </w:rPr>
        <w:t>19.2</w:t>
      </w:r>
      <w:r>
        <w:rPr>
          <w:rFonts w:cs="Arial"/>
          <w:szCs w:val="24"/>
          <w:lang w:eastAsia="en-GB"/>
        </w:rPr>
        <w:tab/>
        <w:t>The relevant protected characteristics are age, race, disability, gender</w:t>
      </w:r>
    </w:p>
    <w:p w14:paraId="0F642942" w14:textId="77777777" w:rsidR="00610C3A" w:rsidRDefault="00610C3A" w:rsidP="00610C3A">
      <w:pPr>
        <w:autoSpaceDE w:val="0"/>
        <w:autoSpaceDN w:val="0"/>
        <w:adjustRightInd w:val="0"/>
        <w:ind w:left="720"/>
        <w:rPr>
          <w:rFonts w:cs="Arial"/>
          <w:szCs w:val="24"/>
          <w:lang w:eastAsia="en-GB"/>
        </w:rPr>
      </w:pPr>
      <w:r>
        <w:rPr>
          <w:rFonts w:cs="Arial"/>
          <w:szCs w:val="24"/>
          <w:lang w:eastAsia="en-GB"/>
        </w:rPr>
        <w:t xml:space="preserve">reassignment, pregnancy and maternity, religion or belief, </w:t>
      </w:r>
      <w:proofErr w:type="gramStart"/>
      <w:r>
        <w:rPr>
          <w:rFonts w:cs="Arial"/>
          <w:szCs w:val="24"/>
          <w:lang w:eastAsia="en-GB"/>
        </w:rPr>
        <w:t>sex</w:t>
      </w:r>
      <w:proofErr w:type="gramEnd"/>
      <w:r>
        <w:rPr>
          <w:rFonts w:cs="Arial"/>
          <w:szCs w:val="24"/>
          <w:lang w:eastAsia="en-GB"/>
        </w:rPr>
        <w:t xml:space="preserve"> and sexual orientation. </w:t>
      </w:r>
    </w:p>
    <w:p w14:paraId="108F7650" w14:textId="77777777" w:rsidR="00610C3A" w:rsidRDefault="00610C3A" w:rsidP="00610C3A">
      <w:pPr>
        <w:autoSpaceDE w:val="0"/>
        <w:autoSpaceDN w:val="0"/>
        <w:adjustRightInd w:val="0"/>
        <w:ind w:left="720"/>
        <w:rPr>
          <w:rFonts w:cs="Arial"/>
          <w:szCs w:val="24"/>
          <w:lang w:eastAsia="en-GB"/>
        </w:rPr>
      </w:pPr>
    </w:p>
    <w:p w14:paraId="6ABA8A6A" w14:textId="77777777" w:rsidR="00610C3A" w:rsidRDefault="00610C3A" w:rsidP="00610C3A">
      <w:pPr>
        <w:autoSpaceDE w:val="0"/>
        <w:autoSpaceDN w:val="0"/>
        <w:adjustRightInd w:val="0"/>
        <w:ind w:left="720" w:hanging="720"/>
        <w:rPr>
          <w:rFonts w:cs="Arial"/>
          <w:bCs/>
          <w:iCs/>
          <w:szCs w:val="24"/>
        </w:rPr>
      </w:pPr>
      <w:r>
        <w:rPr>
          <w:rFonts w:cs="Arial"/>
          <w:szCs w:val="24"/>
          <w:lang w:eastAsia="en-GB"/>
        </w:rPr>
        <w:t>19.3</w:t>
      </w:r>
      <w:r>
        <w:rPr>
          <w:rFonts w:cs="Arial"/>
          <w:szCs w:val="24"/>
          <w:lang w:eastAsia="en-GB"/>
        </w:rPr>
        <w:tab/>
      </w:r>
      <w:r w:rsidRPr="00776C1A">
        <w:rPr>
          <w:szCs w:val="24"/>
        </w:rPr>
        <w:t>The proposed SPD the subject of this report</w:t>
      </w:r>
      <w:r>
        <w:rPr>
          <w:szCs w:val="24"/>
        </w:rPr>
        <w:t xml:space="preserve"> aims to provide detailed design principles and guidance for small site development, flat conversions and residential extensions within the borough and therefore advances equality of opportunity for all and is </w:t>
      </w:r>
      <w:r>
        <w:rPr>
          <w:rFonts w:cs="Arial"/>
          <w:bCs/>
          <w:iCs/>
          <w:szCs w:val="24"/>
        </w:rPr>
        <w:t>not c</w:t>
      </w:r>
      <w:r w:rsidRPr="00183636">
        <w:rPr>
          <w:rFonts w:cs="Arial"/>
          <w:bCs/>
          <w:iCs/>
          <w:szCs w:val="24"/>
        </w:rPr>
        <w:t xml:space="preserve">onsidered </w:t>
      </w:r>
      <w:r>
        <w:rPr>
          <w:rFonts w:cs="Arial"/>
          <w:bCs/>
          <w:iCs/>
          <w:szCs w:val="24"/>
        </w:rPr>
        <w:t xml:space="preserve">to </w:t>
      </w:r>
      <w:r w:rsidRPr="00183636">
        <w:rPr>
          <w:rFonts w:cs="Arial"/>
          <w:bCs/>
          <w:iCs/>
          <w:szCs w:val="24"/>
        </w:rPr>
        <w:t>adversely impact on persons within the protected ch</w:t>
      </w:r>
      <w:r>
        <w:rPr>
          <w:rFonts w:cs="Arial"/>
          <w:bCs/>
          <w:iCs/>
          <w:szCs w:val="24"/>
        </w:rPr>
        <w:t xml:space="preserve">aracteristics. </w:t>
      </w:r>
    </w:p>
    <w:p w14:paraId="115CFCEC" w14:textId="77777777" w:rsidR="00610C3A" w:rsidRDefault="00610C3A" w:rsidP="00610C3A">
      <w:pPr>
        <w:autoSpaceDE w:val="0"/>
        <w:autoSpaceDN w:val="0"/>
        <w:adjustRightInd w:val="0"/>
        <w:ind w:left="720" w:hanging="720"/>
        <w:rPr>
          <w:rFonts w:cs="Arial"/>
          <w:bCs/>
          <w:iCs/>
          <w:szCs w:val="24"/>
        </w:rPr>
      </w:pPr>
    </w:p>
    <w:p w14:paraId="375F993D" w14:textId="774A60C6" w:rsidR="00610C3A" w:rsidRPr="006C5821" w:rsidRDefault="00610C3A" w:rsidP="00610C3A">
      <w:pPr>
        <w:autoSpaceDE w:val="0"/>
        <w:autoSpaceDN w:val="0"/>
        <w:adjustRightInd w:val="0"/>
        <w:ind w:left="720" w:hanging="720"/>
      </w:pPr>
      <w:r>
        <w:rPr>
          <w:rFonts w:cs="Arial"/>
          <w:bCs/>
          <w:iCs/>
          <w:szCs w:val="24"/>
        </w:rPr>
        <w:t>19.4</w:t>
      </w:r>
      <w:r>
        <w:rPr>
          <w:rFonts w:cs="Arial"/>
          <w:bCs/>
          <w:iCs/>
          <w:szCs w:val="24"/>
        </w:rPr>
        <w:tab/>
        <w:t>Further, the proposed</w:t>
      </w:r>
      <w:r w:rsidRPr="00776C1A">
        <w:rPr>
          <w:szCs w:val="24"/>
        </w:rPr>
        <w:t xml:space="preserve"> </w:t>
      </w:r>
      <w:r>
        <w:rPr>
          <w:szCs w:val="24"/>
        </w:rPr>
        <w:t xml:space="preserve">SPD </w:t>
      </w:r>
      <w:r w:rsidRPr="00776C1A">
        <w:rPr>
          <w:szCs w:val="24"/>
        </w:rPr>
        <w:t xml:space="preserve">will supplement adopted policies within the Harrow Core Strategy and subsequent Development Management Policies Local Plan. A full equalities impact assessment was carried out at each formal stage in the preparation of the Core Strategy. </w:t>
      </w:r>
    </w:p>
    <w:p w14:paraId="24A8ED5A" w14:textId="3B145C5A" w:rsidR="00432050" w:rsidRPr="00ED4F89" w:rsidRDefault="00E313A3" w:rsidP="003E6598">
      <w:pPr>
        <w:pStyle w:val="Heading3"/>
        <w:keepNext/>
        <w:spacing w:before="240"/>
        <w:ind w:left="0" w:firstLine="0"/>
      </w:pPr>
      <w:r w:rsidRPr="00ED4F89">
        <w:t>20</w:t>
      </w:r>
      <w:r w:rsidR="004C3182" w:rsidRPr="00ED4F89">
        <w:t>.0</w:t>
      </w:r>
      <w:r w:rsidR="00610C3A" w:rsidRPr="00ED4F89">
        <w:tab/>
      </w:r>
      <w:r w:rsidR="00D33AE8" w:rsidRPr="00ED4F89">
        <w:t xml:space="preserve">Council </w:t>
      </w:r>
      <w:r w:rsidR="00432050" w:rsidRPr="00ED4F89">
        <w:t>Priorities</w:t>
      </w:r>
    </w:p>
    <w:p w14:paraId="7FA657DA" w14:textId="77777777" w:rsidR="00432050" w:rsidRPr="00CD57D8" w:rsidRDefault="00432050" w:rsidP="003E6598">
      <w:pPr>
        <w:keepNext/>
        <w:ind w:right="144"/>
        <w:rPr>
          <w:rFonts w:cs="Arial"/>
          <w:szCs w:val="24"/>
          <w:lang w:val="en-US"/>
        </w:rPr>
      </w:pPr>
    </w:p>
    <w:p w14:paraId="2F51C5D9" w14:textId="2219F868" w:rsidR="00325215" w:rsidRPr="007A0281" w:rsidRDefault="00E313A3" w:rsidP="003E6598">
      <w:pPr>
        <w:keepNext/>
        <w:autoSpaceDE w:val="0"/>
        <w:autoSpaceDN w:val="0"/>
        <w:contextualSpacing/>
        <w:rPr>
          <w:rFonts w:ascii="Arial Bold" w:hAnsi="Arial Bold"/>
          <w:b/>
        </w:rPr>
      </w:pPr>
      <w:r>
        <w:rPr>
          <w:rFonts w:ascii="Arial Bold" w:hAnsi="Arial Bold"/>
          <w:b/>
        </w:rPr>
        <w:t>21</w:t>
      </w:r>
      <w:r w:rsidR="007A0281">
        <w:rPr>
          <w:rFonts w:ascii="Arial Bold" w:hAnsi="Arial Bold"/>
          <w:b/>
        </w:rPr>
        <w:t>.1</w:t>
      </w:r>
      <w:r w:rsidR="007A0281">
        <w:rPr>
          <w:rFonts w:ascii="Arial Bold" w:hAnsi="Arial Bold"/>
          <w:b/>
        </w:rPr>
        <w:tab/>
      </w:r>
      <w:r w:rsidR="00E95DFE" w:rsidRPr="007A0281">
        <w:rPr>
          <w:rFonts w:ascii="Arial Bold" w:hAnsi="Arial Bold"/>
          <w:b/>
        </w:rPr>
        <w:t>Putting residents first.</w:t>
      </w:r>
    </w:p>
    <w:p w14:paraId="48472544" w14:textId="15A16C4C" w:rsidR="009A1723" w:rsidRDefault="009A1723" w:rsidP="003E6598">
      <w:pPr>
        <w:keepNext/>
        <w:autoSpaceDE w:val="0"/>
        <w:autoSpaceDN w:val="0"/>
        <w:contextualSpacing/>
        <w:rPr>
          <w:rFonts w:ascii="Arial Bold" w:hAnsi="Arial Bold"/>
          <w:b/>
        </w:rPr>
      </w:pPr>
    </w:p>
    <w:p w14:paraId="26152B58" w14:textId="3D44B926" w:rsidR="0074137A" w:rsidRDefault="00E313A3" w:rsidP="00E15162">
      <w:pPr>
        <w:autoSpaceDE w:val="0"/>
        <w:autoSpaceDN w:val="0"/>
        <w:ind w:left="720" w:hanging="720"/>
        <w:contextualSpacing/>
        <w:jc w:val="both"/>
        <w:rPr>
          <w:rFonts w:cs="Arial"/>
          <w:szCs w:val="24"/>
        </w:rPr>
      </w:pPr>
      <w:r>
        <w:rPr>
          <w:rFonts w:cs="Arial"/>
          <w:szCs w:val="24"/>
        </w:rPr>
        <w:t>21</w:t>
      </w:r>
      <w:r w:rsidR="00E15162">
        <w:rPr>
          <w:rFonts w:cs="Arial"/>
          <w:szCs w:val="24"/>
        </w:rPr>
        <w:t>.2</w:t>
      </w:r>
      <w:r w:rsidR="00E15162">
        <w:rPr>
          <w:rFonts w:cs="Arial"/>
          <w:szCs w:val="24"/>
        </w:rPr>
        <w:tab/>
      </w:r>
      <w:r w:rsidR="003874B1" w:rsidRPr="00E1033F">
        <w:rPr>
          <w:rFonts w:cs="Arial"/>
          <w:szCs w:val="24"/>
        </w:rPr>
        <w:t>T</w:t>
      </w:r>
      <w:r w:rsidR="00D94A40" w:rsidRPr="00E1033F">
        <w:rPr>
          <w:rFonts w:cs="Arial"/>
          <w:szCs w:val="24"/>
        </w:rPr>
        <w:t xml:space="preserve">he </w:t>
      </w:r>
      <w:r w:rsidR="00115952" w:rsidRPr="00E1033F">
        <w:rPr>
          <w:rFonts w:cs="Arial"/>
          <w:szCs w:val="24"/>
        </w:rPr>
        <w:t xml:space="preserve">progression of </w:t>
      </w:r>
      <w:r w:rsidR="00300343" w:rsidRPr="00E1033F">
        <w:rPr>
          <w:rFonts w:cs="Arial"/>
          <w:szCs w:val="24"/>
        </w:rPr>
        <w:t xml:space="preserve">flat conversion design guidance </w:t>
      </w:r>
      <w:r w:rsidR="00115952" w:rsidRPr="00E1033F">
        <w:rPr>
          <w:rFonts w:cs="Arial"/>
          <w:szCs w:val="24"/>
        </w:rPr>
        <w:t xml:space="preserve">was a manifesto </w:t>
      </w:r>
      <w:r w:rsidR="00DB3838">
        <w:rPr>
          <w:rFonts w:cs="Arial"/>
          <w:szCs w:val="24"/>
        </w:rPr>
        <w:t>commitment</w:t>
      </w:r>
      <w:r w:rsidR="00DB3838" w:rsidRPr="00E1033F">
        <w:rPr>
          <w:rFonts w:cs="Arial"/>
          <w:szCs w:val="24"/>
        </w:rPr>
        <w:t xml:space="preserve"> </w:t>
      </w:r>
      <w:r w:rsidR="003874B1" w:rsidRPr="00E1033F">
        <w:rPr>
          <w:rFonts w:cs="Arial"/>
          <w:szCs w:val="24"/>
        </w:rPr>
        <w:t xml:space="preserve">by the </w:t>
      </w:r>
      <w:r w:rsidR="00B25C6F" w:rsidRPr="00E1033F">
        <w:rPr>
          <w:rFonts w:cs="Arial"/>
          <w:szCs w:val="24"/>
        </w:rPr>
        <w:t xml:space="preserve">administration. </w:t>
      </w:r>
      <w:r w:rsidR="009A1723" w:rsidRPr="00E1033F">
        <w:rPr>
          <w:rFonts w:cs="Arial"/>
          <w:szCs w:val="24"/>
        </w:rPr>
        <w:t xml:space="preserve">This report </w:t>
      </w:r>
      <w:r w:rsidR="00EB0A59" w:rsidRPr="00E1033F">
        <w:rPr>
          <w:rFonts w:cs="Arial"/>
          <w:szCs w:val="24"/>
        </w:rPr>
        <w:t>sets out the</w:t>
      </w:r>
      <w:r w:rsidR="00661678">
        <w:rPr>
          <w:rFonts w:cs="Arial"/>
          <w:szCs w:val="24"/>
        </w:rPr>
        <w:t xml:space="preserve"> proposed</w:t>
      </w:r>
      <w:r w:rsidR="00EB0A59" w:rsidRPr="00E1033F">
        <w:rPr>
          <w:rFonts w:cs="Arial"/>
          <w:szCs w:val="24"/>
        </w:rPr>
        <w:t xml:space="preserve"> approach by the Council to deliver </w:t>
      </w:r>
      <w:r w:rsidR="00E1033F" w:rsidRPr="00E1033F">
        <w:rPr>
          <w:rFonts w:cs="Arial"/>
          <w:szCs w:val="24"/>
        </w:rPr>
        <w:t xml:space="preserve">a chapter within </w:t>
      </w:r>
      <w:r w:rsidR="00A17224">
        <w:rPr>
          <w:rFonts w:cs="Arial"/>
          <w:szCs w:val="24"/>
        </w:rPr>
        <w:t>the</w:t>
      </w:r>
      <w:r w:rsidR="00E1033F" w:rsidRPr="00E1033F">
        <w:rPr>
          <w:rFonts w:cs="Arial"/>
          <w:szCs w:val="24"/>
        </w:rPr>
        <w:t xml:space="preserve"> draft Small Site Design Code </w:t>
      </w:r>
      <w:r w:rsidR="00EB0A59" w:rsidRPr="00E1033F">
        <w:rPr>
          <w:rFonts w:cs="Arial"/>
          <w:szCs w:val="24"/>
        </w:rPr>
        <w:t>SPD</w:t>
      </w:r>
      <w:r w:rsidR="00661678">
        <w:rPr>
          <w:rFonts w:cs="Arial"/>
          <w:szCs w:val="24"/>
        </w:rPr>
        <w:t xml:space="preserve"> </w:t>
      </w:r>
      <w:proofErr w:type="gramStart"/>
      <w:r w:rsidR="00661678">
        <w:rPr>
          <w:rFonts w:cs="Arial"/>
          <w:szCs w:val="24"/>
        </w:rPr>
        <w:t>with regard to</w:t>
      </w:r>
      <w:proofErr w:type="gramEnd"/>
      <w:r w:rsidR="00661678">
        <w:rPr>
          <w:rFonts w:cs="Arial"/>
          <w:szCs w:val="24"/>
        </w:rPr>
        <w:t xml:space="preserve"> improving the quality of flat conversions</w:t>
      </w:r>
      <w:r w:rsidR="00646CC2">
        <w:rPr>
          <w:rFonts w:cs="Arial"/>
          <w:szCs w:val="24"/>
        </w:rPr>
        <w:t xml:space="preserve"> (and residential extensions)</w:t>
      </w:r>
      <w:r w:rsidR="0021760C" w:rsidRPr="00E1033F">
        <w:rPr>
          <w:rFonts w:cs="Arial"/>
          <w:szCs w:val="24"/>
        </w:rPr>
        <w:t xml:space="preserve">, which would reflect the </w:t>
      </w:r>
      <w:r w:rsidR="004D6D56" w:rsidRPr="00E1033F">
        <w:rPr>
          <w:rFonts w:cs="Arial"/>
          <w:szCs w:val="24"/>
        </w:rPr>
        <w:t>priorities of the Council to put residents first.</w:t>
      </w:r>
      <w:r w:rsidR="004D6D56">
        <w:rPr>
          <w:rFonts w:cs="Arial"/>
          <w:szCs w:val="24"/>
        </w:rPr>
        <w:t xml:space="preserve"> </w:t>
      </w:r>
      <w:r w:rsidR="009A1723" w:rsidRPr="00137DD0">
        <w:rPr>
          <w:rFonts w:cs="Arial"/>
          <w:szCs w:val="24"/>
        </w:rPr>
        <w:t xml:space="preserve"> </w:t>
      </w:r>
    </w:p>
    <w:p w14:paraId="6F1FDA3D" w14:textId="77777777" w:rsidR="005441BD" w:rsidRDefault="005441BD" w:rsidP="00410C2B">
      <w:pPr>
        <w:pStyle w:val="Heading2"/>
        <w:spacing w:before="480"/>
      </w:pPr>
      <w:r>
        <w:lastRenderedPageBreak/>
        <w:t>Section 3 - Statutory Officer Clearance</w:t>
      </w:r>
    </w:p>
    <w:p w14:paraId="70CF4DE5" w14:textId="77777777" w:rsidR="009C7E03" w:rsidRDefault="009C7E03" w:rsidP="00D27D5B">
      <w:pPr>
        <w:rPr>
          <w:b/>
          <w:sz w:val="28"/>
        </w:rPr>
      </w:pPr>
    </w:p>
    <w:p w14:paraId="5901BA82" w14:textId="5FCF61E9" w:rsidR="00D27D5B" w:rsidRPr="00B93767" w:rsidRDefault="00D27D5B" w:rsidP="00D27D5B">
      <w:pPr>
        <w:rPr>
          <w:bCs/>
          <w:sz w:val="28"/>
        </w:rPr>
      </w:pPr>
      <w:r w:rsidRPr="005425AC">
        <w:rPr>
          <w:b/>
          <w:sz w:val="28"/>
        </w:rPr>
        <w:t xml:space="preserve">Statutory Officer:  </w:t>
      </w:r>
      <w:r w:rsidR="00ED4F89">
        <w:rPr>
          <w:bCs/>
          <w:sz w:val="28"/>
        </w:rPr>
        <w:t>Abiodun Kolawole</w:t>
      </w:r>
    </w:p>
    <w:p w14:paraId="325CE56B" w14:textId="340057BE" w:rsidR="00D27D5B" w:rsidRPr="005425AC" w:rsidRDefault="00D27D5B" w:rsidP="00D27D5B">
      <w:r w:rsidRPr="005425AC">
        <w:t xml:space="preserve">Signed </w:t>
      </w:r>
      <w:r w:rsidR="00ED4F89">
        <w:t>on behalf of</w:t>
      </w:r>
      <w:r w:rsidRPr="005425AC">
        <w:t xml:space="preserve"> the Monitoring Officer</w:t>
      </w:r>
    </w:p>
    <w:p w14:paraId="37FF6CA1" w14:textId="77777777" w:rsidR="00D27D5B" w:rsidRPr="005425AC" w:rsidRDefault="00D27D5B" w:rsidP="00D27D5B">
      <w:pPr>
        <w:rPr>
          <w:sz w:val="28"/>
        </w:rPr>
      </w:pPr>
    </w:p>
    <w:p w14:paraId="5CF72278" w14:textId="058B3EC0" w:rsidR="00D27D5B" w:rsidRPr="00ED4F89" w:rsidRDefault="00D27D5B" w:rsidP="00D27D5B">
      <w:pPr>
        <w:spacing w:after="480"/>
        <w:rPr>
          <w:bCs/>
          <w:sz w:val="28"/>
        </w:rPr>
      </w:pPr>
      <w:r w:rsidRPr="005425AC">
        <w:rPr>
          <w:b/>
          <w:sz w:val="28"/>
        </w:rPr>
        <w:t>Date:</w:t>
      </w:r>
      <w:r w:rsidRPr="00A66326">
        <w:rPr>
          <w:b/>
          <w:sz w:val="28"/>
        </w:rPr>
        <w:t xml:space="preserve">  </w:t>
      </w:r>
      <w:r w:rsidR="00ED4F89">
        <w:rPr>
          <w:bCs/>
          <w:sz w:val="28"/>
        </w:rPr>
        <w:t>20 December 2022 – by email</w:t>
      </w:r>
    </w:p>
    <w:p w14:paraId="60CCDF64" w14:textId="3BA23E7A" w:rsidR="00075E03" w:rsidRPr="00150061" w:rsidRDefault="00075E03" w:rsidP="00075E03">
      <w:pPr>
        <w:rPr>
          <w:bCs/>
          <w:sz w:val="28"/>
        </w:rPr>
      </w:pPr>
      <w:r>
        <w:rPr>
          <w:b/>
          <w:sz w:val="28"/>
        </w:rPr>
        <w:t>Chief</w:t>
      </w:r>
      <w:r w:rsidRPr="00A66326">
        <w:rPr>
          <w:b/>
          <w:sz w:val="28"/>
        </w:rPr>
        <w:t xml:space="preserve"> Officer:  </w:t>
      </w:r>
      <w:r w:rsidR="00150061">
        <w:rPr>
          <w:bCs/>
          <w:sz w:val="28"/>
        </w:rPr>
        <w:t>Viv Evans</w:t>
      </w:r>
    </w:p>
    <w:p w14:paraId="2EA2ED19" w14:textId="0DE80F95" w:rsidR="00075E03" w:rsidRDefault="00075E03" w:rsidP="00075E03">
      <w:r w:rsidRPr="00A66326">
        <w:t xml:space="preserve">Signed </w:t>
      </w:r>
      <w:r>
        <w:t xml:space="preserve">off by the </w:t>
      </w:r>
      <w:r w:rsidR="00CE1FCA">
        <w:t>Chief Officer</w:t>
      </w:r>
    </w:p>
    <w:p w14:paraId="1AAA8912" w14:textId="4B42CF31" w:rsidR="00F50818" w:rsidRPr="00A66326" w:rsidRDefault="00F50818" w:rsidP="00075E03">
      <w:r w:rsidRPr="00F50818">
        <w:rPr>
          <w:rFonts w:ascii="Calibri" w:eastAsia="Calibri" w:hAnsi="Calibri"/>
          <w:noProof/>
          <w:sz w:val="22"/>
          <w:szCs w:val="22"/>
        </w:rPr>
        <w:drawing>
          <wp:inline distT="0" distB="0" distL="0" distR="0" wp14:anchorId="5D136F47" wp14:editId="4DA0E6E3">
            <wp:extent cx="1786255" cy="6769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6255" cy="676910"/>
                    </a:xfrm>
                    <a:prstGeom prst="rect">
                      <a:avLst/>
                    </a:prstGeom>
                    <a:noFill/>
                  </pic:spPr>
                </pic:pic>
              </a:graphicData>
            </a:graphic>
          </wp:inline>
        </w:drawing>
      </w:r>
    </w:p>
    <w:p w14:paraId="2144D58E" w14:textId="77777777" w:rsidR="00075E03" w:rsidRPr="00A66326" w:rsidRDefault="00075E03" w:rsidP="00075E03">
      <w:pPr>
        <w:rPr>
          <w:sz w:val="28"/>
        </w:rPr>
      </w:pPr>
    </w:p>
    <w:p w14:paraId="68C16760" w14:textId="62283E7A" w:rsidR="00075E03" w:rsidRDefault="00075E03" w:rsidP="00075E03">
      <w:pPr>
        <w:spacing w:after="480"/>
        <w:rPr>
          <w:b/>
          <w:sz w:val="28"/>
        </w:rPr>
      </w:pPr>
      <w:r w:rsidRPr="00A66326">
        <w:rPr>
          <w:b/>
          <w:sz w:val="28"/>
        </w:rPr>
        <w:t>Date</w:t>
      </w:r>
      <w:r w:rsidRPr="00502DD3">
        <w:rPr>
          <w:bCs/>
          <w:sz w:val="28"/>
        </w:rPr>
        <w:t xml:space="preserve">:  </w:t>
      </w:r>
      <w:r w:rsidR="00F50818" w:rsidRPr="00502DD3">
        <w:rPr>
          <w:bCs/>
          <w:sz w:val="28"/>
        </w:rPr>
        <w:t>22 December 2022</w:t>
      </w:r>
    </w:p>
    <w:p w14:paraId="66F40407" w14:textId="77777777" w:rsidR="00D27D5B" w:rsidRPr="00435B5D" w:rsidRDefault="00D27D5B" w:rsidP="00D27D5B">
      <w:pPr>
        <w:pStyle w:val="Heading2"/>
        <w:spacing w:after="240"/>
      </w:pPr>
      <w:r>
        <w:t>Mandatory Checks</w:t>
      </w:r>
    </w:p>
    <w:p w14:paraId="7D605383" w14:textId="37B2E415" w:rsidR="00D27D5B" w:rsidRPr="009C7E03" w:rsidRDefault="00D27D5B" w:rsidP="009C7E03">
      <w:pPr>
        <w:pStyle w:val="Heading3"/>
        <w:ind w:left="0" w:firstLine="0"/>
        <w:jc w:val="left"/>
      </w:pPr>
      <w:r w:rsidRPr="003313EA">
        <w:t xml:space="preserve">Ward Councillors </w:t>
      </w:r>
      <w:r>
        <w:t xml:space="preserve">notified:  </w:t>
      </w:r>
      <w:r w:rsidRPr="00A406F3">
        <w:t xml:space="preserve"> N</w:t>
      </w:r>
      <w:r w:rsidR="007B0F8E">
        <w:t>o</w:t>
      </w:r>
      <w:r w:rsidR="009C7E03">
        <w:t>,</w:t>
      </w:r>
      <w:r w:rsidRPr="00333FAA">
        <w:t xml:space="preserve"> as it impacts on all Wards</w:t>
      </w:r>
      <w:r w:rsidRPr="00A406F3">
        <w:t xml:space="preserve"> </w:t>
      </w:r>
      <w:r w:rsidR="009C7E03">
        <w:t>/ Information only</w:t>
      </w:r>
    </w:p>
    <w:p w14:paraId="7370C9EA" w14:textId="5DE73F1B" w:rsidR="00D27D5B" w:rsidRPr="00202D79" w:rsidRDefault="00D27D5B" w:rsidP="00D27D5B">
      <w:pPr>
        <w:pStyle w:val="Heading3"/>
        <w:spacing w:before="240"/>
        <w:rPr>
          <w:b w:val="0"/>
        </w:rPr>
      </w:pPr>
      <w:proofErr w:type="spellStart"/>
      <w:r w:rsidRPr="00202D79">
        <w:t>EqIA</w:t>
      </w:r>
      <w:proofErr w:type="spellEnd"/>
      <w:r w:rsidRPr="00202D79">
        <w:t xml:space="preserve"> carried out:</w:t>
      </w:r>
      <w:r>
        <w:t xml:space="preserve">  </w:t>
      </w:r>
      <w:r w:rsidRPr="00202D79">
        <w:t>N</w:t>
      </w:r>
      <w:r w:rsidR="007B0F8E">
        <w:t>o:</w:t>
      </w:r>
      <w:r w:rsidR="009C7E03">
        <w:t xml:space="preserve"> </w:t>
      </w:r>
      <w:r w:rsidR="009C7E03" w:rsidRPr="00F66577">
        <w:t xml:space="preserve">refer to paragraph </w:t>
      </w:r>
      <w:r w:rsidR="00962A76">
        <w:t>19</w:t>
      </w:r>
      <w:r w:rsidR="00F66577" w:rsidRPr="00F66577">
        <w:t xml:space="preserve"> </w:t>
      </w:r>
      <w:r w:rsidR="009C7E03" w:rsidRPr="00F66577">
        <w:t>above</w:t>
      </w:r>
    </w:p>
    <w:p w14:paraId="45992642" w14:textId="5D854FBC" w:rsidR="00D27D5B" w:rsidRPr="00ED4F89" w:rsidRDefault="00D27D5B" w:rsidP="00D27D5B">
      <w:pPr>
        <w:pStyle w:val="Heading3"/>
        <w:spacing w:before="240"/>
        <w:jc w:val="left"/>
      </w:pPr>
      <w:proofErr w:type="spellStart"/>
      <w:r w:rsidRPr="00ED4F89">
        <w:t>EqIA</w:t>
      </w:r>
      <w:proofErr w:type="spellEnd"/>
      <w:r w:rsidRPr="00ED4F89">
        <w:t xml:space="preserve"> cleared by:  </w:t>
      </w:r>
      <w:r w:rsidR="009C7E03" w:rsidRPr="00ED4F89">
        <w:t>N/A</w:t>
      </w:r>
    </w:p>
    <w:p w14:paraId="1F5D9269" w14:textId="77777777" w:rsidR="005441BD" w:rsidRDefault="005441BD" w:rsidP="00D27D5B">
      <w:pPr>
        <w:pStyle w:val="Heading2"/>
        <w:spacing w:before="480" w:after="240"/>
      </w:pPr>
      <w:r>
        <w:t xml:space="preserve">Section </w:t>
      </w:r>
      <w:r w:rsidR="00B8374D">
        <w:t>4</w:t>
      </w:r>
      <w:r>
        <w:t xml:space="preserve"> - Contact Details and Background Papers</w:t>
      </w:r>
    </w:p>
    <w:p w14:paraId="63C69737" w14:textId="5F87E68B" w:rsidR="005441BD" w:rsidRDefault="005441BD">
      <w:pPr>
        <w:pStyle w:val="Infotext"/>
      </w:pPr>
      <w:r w:rsidRPr="00EE7076">
        <w:rPr>
          <w:b/>
        </w:rPr>
        <w:t>Contact:</w:t>
      </w:r>
      <w:r>
        <w:t xml:space="preserve">  </w:t>
      </w:r>
      <w:r w:rsidR="009C7E03" w:rsidRPr="00233550">
        <w:rPr>
          <w:szCs w:val="28"/>
        </w:rPr>
        <w:t>Callum Sayers, Principal Planning Policy Officer</w:t>
      </w:r>
      <w:r w:rsidR="00233550" w:rsidRPr="00233550">
        <w:rPr>
          <w:szCs w:val="28"/>
        </w:rPr>
        <w:t xml:space="preserve">, </w:t>
      </w:r>
      <w:r w:rsidR="00233550" w:rsidRPr="00233550">
        <w:rPr>
          <w:rFonts w:eastAsiaTheme="minorEastAsia" w:cs="Arial"/>
          <w:noProof/>
          <w:szCs w:val="28"/>
          <w:lang w:eastAsia="en-GB"/>
        </w:rPr>
        <w:t xml:space="preserve">077 3159 1724, </w:t>
      </w:r>
      <w:hyperlink r:id="rId15" w:history="1">
        <w:r w:rsidR="00233550" w:rsidRPr="00233550">
          <w:rPr>
            <w:rStyle w:val="Hyperlink"/>
            <w:rFonts w:eastAsiaTheme="minorEastAsia" w:cs="Arial"/>
            <w:noProof/>
            <w:szCs w:val="28"/>
            <w:lang w:eastAsia="en-GB"/>
          </w:rPr>
          <w:t>callum.sayers@harrow.gov.uk</w:t>
        </w:r>
      </w:hyperlink>
      <w:r w:rsidR="00233550">
        <w:rPr>
          <w:rFonts w:eastAsiaTheme="minorEastAsia" w:cs="Arial"/>
          <w:noProof/>
          <w:sz w:val="20"/>
          <w:lang w:eastAsia="en-GB"/>
        </w:rPr>
        <w:t xml:space="preserve"> </w:t>
      </w:r>
      <w:r w:rsidR="009C7E03">
        <w:t xml:space="preserve"> </w:t>
      </w:r>
    </w:p>
    <w:p w14:paraId="0F54757A" w14:textId="77777777" w:rsidR="0022455D" w:rsidRDefault="005441BD" w:rsidP="00D27D5B">
      <w:pPr>
        <w:pStyle w:val="Infotext"/>
        <w:spacing w:before="240"/>
      </w:pPr>
      <w:r w:rsidRPr="00EE7076">
        <w:rPr>
          <w:b/>
        </w:rPr>
        <w:t>Background Papers:</w:t>
      </w:r>
      <w:r>
        <w:t xml:space="preserve">  </w:t>
      </w:r>
    </w:p>
    <w:p w14:paraId="3FC6941B" w14:textId="77777777" w:rsidR="0022455D" w:rsidRPr="00174DE9" w:rsidRDefault="00BA4314" w:rsidP="0044548D">
      <w:pPr>
        <w:pStyle w:val="Infotext"/>
        <w:numPr>
          <w:ilvl w:val="0"/>
          <w:numId w:val="3"/>
        </w:numPr>
        <w:rPr>
          <w:sz w:val="24"/>
          <w:szCs w:val="24"/>
        </w:rPr>
      </w:pPr>
      <w:hyperlink r:id="rId16" w:history="1">
        <w:r w:rsidR="0022455D" w:rsidRPr="00174DE9">
          <w:rPr>
            <w:rStyle w:val="Hyperlink"/>
            <w:sz w:val="24"/>
            <w:szCs w:val="24"/>
          </w:rPr>
          <w:t>National Planning Policy Framework (2021)</w:t>
        </w:r>
      </w:hyperlink>
      <w:r w:rsidR="0022455D" w:rsidRPr="00174DE9">
        <w:rPr>
          <w:sz w:val="24"/>
          <w:szCs w:val="24"/>
        </w:rPr>
        <w:t xml:space="preserve"> </w:t>
      </w:r>
    </w:p>
    <w:p w14:paraId="402CA9A6" w14:textId="77777777" w:rsidR="0022455D" w:rsidRPr="00174DE9" w:rsidRDefault="00BA4314" w:rsidP="0044548D">
      <w:pPr>
        <w:pStyle w:val="Infotext"/>
        <w:numPr>
          <w:ilvl w:val="0"/>
          <w:numId w:val="3"/>
        </w:numPr>
        <w:rPr>
          <w:sz w:val="24"/>
          <w:szCs w:val="24"/>
        </w:rPr>
      </w:pPr>
      <w:hyperlink r:id="rId17" w:history="1">
        <w:r w:rsidR="0022455D" w:rsidRPr="00174DE9">
          <w:rPr>
            <w:rStyle w:val="Hyperlink"/>
            <w:sz w:val="24"/>
            <w:szCs w:val="24"/>
          </w:rPr>
          <w:t>London Plan (2021)</w:t>
        </w:r>
      </w:hyperlink>
      <w:r w:rsidR="0022455D" w:rsidRPr="00174DE9">
        <w:rPr>
          <w:sz w:val="24"/>
          <w:szCs w:val="24"/>
        </w:rPr>
        <w:t xml:space="preserve"> </w:t>
      </w:r>
    </w:p>
    <w:p w14:paraId="0C7516FB" w14:textId="36C8E28C" w:rsidR="0022455D" w:rsidRPr="00352500" w:rsidRDefault="00BA4314" w:rsidP="0044548D">
      <w:pPr>
        <w:pStyle w:val="Infotext"/>
        <w:numPr>
          <w:ilvl w:val="0"/>
          <w:numId w:val="3"/>
        </w:numPr>
        <w:rPr>
          <w:rStyle w:val="Hyperlink"/>
          <w:color w:val="auto"/>
          <w:sz w:val="24"/>
          <w:szCs w:val="24"/>
          <w:u w:val="none"/>
        </w:rPr>
      </w:pPr>
      <w:hyperlink r:id="rId18" w:history="1">
        <w:r w:rsidR="0022455D" w:rsidRPr="00174DE9">
          <w:rPr>
            <w:rStyle w:val="Hyperlink"/>
            <w:sz w:val="24"/>
            <w:szCs w:val="24"/>
          </w:rPr>
          <w:t>Harrow Local Plan</w:t>
        </w:r>
      </w:hyperlink>
    </w:p>
    <w:p w14:paraId="7C2363A5" w14:textId="0E78A8C2" w:rsidR="002B425C" w:rsidRPr="00B402AD" w:rsidRDefault="00352500" w:rsidP="00B402AD">
      <w:pPr>
        <w:pStyle w:val="Infotext"/>
        <w:numPr>
          <w:ilvl w:val="0"/>
          <w:numId w:val="3"/>
        </w:numPr>
        <w:rPr>
          <w:rStyle w:val="Hyperlink"/>
          <w:color w:val="auto"/>
          <w:sz w:val="24"/>
          <w:szCs w:val="24"/>
          <w:u w:val="none"/>
        </w:rPr>
      </w:pPr>
      <w:r>
        <w:rPr>
          <w:rStyle w:val="Hyperlink"/>
          <w:sz w:val="24"/>
          <w:szCs w:val="24"/>
        </w:rPr>
        <w:t>Draft Small Sites Design Code Supplementary Planning Document</w:t>
      </w:r>
      <w:r w:rsidR="00E71E06">
        <w:rPr>
          <w:rStyle w:val="Hyperlink"/>
          <w:sz w:val="24"/>
          <w:szCs w:val="24"/>
        </w:rPr>
        <w:t xml:space="preserve"> (as originally consulted on)</w:t>
      </w:r>
    </w:p>
    <w:p w14:paraId="54A40759" w14:textId="49F2ED51" w:rsidR="00ED4F89" w:rsidRDefault="00ED4F89">
      <w:pPr>
        <w:rPr>
          <w:rFonts w:cs="Arial"/>
          <w:color w:val="FF0000"/>
          <w:szCs w:val="22"/>
        </w:rPr>
      </w:pPr>
      <w:r>
        <w:rPr>
          <w:rFonts w:cs="Arial"/>
          <w:color w:val="FF0000"/>
          <w:szCs w:val="22"/>
        </w:rPr>
        <w:br w:type="page"/>
      </w:r>
    </w:p>
    <w:p w14:paraId="2A3BB386" w14:textId="03EB8272" w:rsidR="00FC7A3E" w:rsidRPr="00BA4314" w:rsidRDefault="00FC7A3E" w:rsidP="0022455D">
      <w:pPr>
        <w:pStyle w:val="Infotext"/>
        <w:spacing w:before="240"/>
        <w:rPr>
          <w:rFonts w:cs="Arial"/>
          <w:b/>
          <w:bCs/>
          <w:color w:val="000000" w:themeColor="text1"/>
          <w:szCs w:val="28"/>
        </w:rPr>
      </w:pPr>
      <w:r w:rsidRPr="00BA4314">
        <w:rPr>
          <w:rFonts w:cs="Arial"/>
          <w:b/>
          <w:bCs/>
          <w:color w:val="000000" w:themeColor="text1"/>
          <w:szCs w:val="28"/>
        </w:rPr>
        <w:lastRenderedPageBreak/>
        <w:t xml:space="preserve">Appendix 1: </w:t>
      </w:r>
      <w:r w:rsidR="00542F08" w:rsidRPr="00BA4314">
        <w:rPr>
          <w:rFonts w:cs="Arial"/>
          <w:b/>
          <w:bCs/>
          <w:szCs w:val="28"/>
        </w:rPr>
        <w:t>Draft Residential Conversions Guidance Principles</w:t>
      </w:r>
    </w:p>
    <w:p w14:paraId="5DCF38A2" w14:textId="77777777" w:rsidR="000025F7" w:rsidRPr="00FC7A3E" w:rsidRDefault="000025F7" w:rsidP="0022455D">
      <w:pPr>
        <w:pStyle w:val="Infotext"/>
        <w:spacing w:before="240"/>
        <w:rPr>
          <w:rFonts w:cs="Arial"/>
          <w:b/>
          <w:bCs/>
          <w:color w:val="000000" w:themeColor="text1"/>
          <w:sz w:val="24"/>
          <w:szCs w:val="22"/>
          <w:u w:val="single"/>
        </w:rPr>
      </w:pPr>
    </w:p>
    <w:tbl>
      <w:tblPr>
        <w:tblStyle w:val="TableGrid"/>
        <w:tblW w:w="9356" w:type="dxa"/>
        <w:tblInd w:w="-147" w:type="dxa"/>
        <w:tblLook w:val="04A0" w:firstRow="1" w:lastRow="0" w:firstColumn="1" w:lastColumn="0" w:noHBand="0" w:noVBand="1"/>
      </w:tblPr>
      <w:tblGrid>
        <w:gridCol w:w="1985"/>
        <w:gridCol w:w="7371"/>
      </w:tblGrid>
      <w:tr w:rsidR="00ED4F89" w:rsidRPr="00ED4F89" w14:paraId="22249755" w14:textId="77777777" w:rsidTr="00DA1624">
        <w:tc>
          <w:tcPr>
            <w:tcW w:w="1985" w:type="dxa"/>
            <w:shd w:val="clear" w:color="auto" w:fill="D9D9D9" w:themeFill="background1" w:themeFillShade="D9"/>
          </w:tcPr>
          <w:p w14:paraId="716335D3" w14:textId="77777777" w:rsidR="00FC7A3E" w:rsidRPr="00ED4F89" w:rsidRDefault="00FC7A3E" w:rsidP="00BA4314">
            <w:pPr>
              <w:spacing w:before="60" w:after="60"/>
              <w:jc w:val="both"/>
              <w:rPr>
                <w:rFonts w:cs="Arial"/>
                <w:b/>
                <w:bCs/>
              </w:rPr>
            </w:pPr>
          </w:p>
        </w:tc>
        <w:tc>
          <w:tcPr>
            <w:tcW w:w="7371" w:type="dxa"/>
            <w:shd w:val="clear" w:color="auto" w:fill="D9D9D9" w:themeFill="background1" w:themeFillShade="D9"/>
          </w:tcPr>
          <w:p w14:paraId="66BAAA4F" w14:textId="77C12771" w:rsidR="00FC7A3E" w:rsidRPr="00ED4F89" w:rsidRDefault="00FC7A3E" w:rsidP="00BA4314">
            <w:pPr>
              <w:spacing w:before="60" w:after="60"/>
              <w:jc w:val="center"/>
              <w:rPr>
                <w:rFonts w:cs="Arial"/>
                <w:b/>
                <w:bCs/>
              </w:rPr>
            </w:pPr>
            <w:r w:rsidRPr="00ED4F89">
              <w:rPr>
                <w:rFonts w:cs="Arial"/>
                <w:b/>
                <w:bCs/>
              </w:rPr>
              <w:t>Existing Borough Wide Principles (Draft Small Sites Design Code SPD)</w:t>
            </w:r>
            <w:r w:rsidR="00BA4314">
              <w:rPr>
                <w:rFonts w:cs="Arial"/>
                <w:b/>
                <w:bCs/>
              </w:rPr>
              <w:t xml:space="preserve"> (relevant to residential conversions)</w:t>
            </w:r>
          </w:p>
        </w:tc>
      </w:tr>
      <w:tr w:rsidR="00FC7A3E" w:rsidRPr="002902CE" w14:paraId="51EB5F7C" w14:textId="77777777" w:rsidTr="00DA1624">
        <w:tc>
          <w:tcPr>
            <w:tcW w:w="1985" w:type="dxa"/>
          </w:tcPr>
          <w:p w14:paraId="70CE4A4E" w14:textId="77777777" w:rsidR="00FC7A3E" w:rsidRPr="002902CE" w:rsidRDefault="00FC7A3E" w:rsidP="00DA0A41">
            <w:pPr>
              <w:jc w:val="both"/>
              <w:rPr>
                <w:rFonts w:cs="Arial"/>
                <w:u w:val="single"/>
              </w:rPr>
            </w:pPr>
            <w:r w:rsidRPr="0003285E">
              <w:rPr>
                <w:rFonts w:cs="Arial"/>
                <w:b/>
                <w:bCs/>
              </w:rPr>
              <w:t>Principle A</w:t>
            </w:r>
          </w:p>
        </w:tc>
        <w:tc>
          <w:tcPr>
            <w:tcW w:w="7371" w:type="dxa"/>
          </w:tcPr>
          <w:p w14:paraId="3505758B" w14:textId="77777777" w:rsidR="00FC7A3E" w:rsidRDefault="00FC7A3E" w:rsidP="00DA0A41">
            <w:pPr>
              <w:jc w:val="both"/>
              <w:rPr>
                <w:rFonts w:cs="Arial"/>
                <w:u w:val="single"/>
              </w:rPr>
            </w:pPr>
            <w:r w:rsidRPr="002902CE">
              <w:rPr>
                <w:rFonts w:cs="Arial"/>
                <w:u w:val="single"/>
              </w:rPr>
              <w:t>3.1.7 Defensible Space</w:t>
            </w:r>
          </w:p>
          <w:p w14:paraId="2D7B1BDB" w14:textId="77777777" w:rsidR="00FC7A3E" w:rsidRPr="002902CE" w:rsidRDefault="00FC7A3E" w:rsidP="00DA0A41">
            <w:pPr>
              <w:jc w:val="both"/>
              <w:rPr>
                <w:rFonts w:cs="Arial"/>
                <w:u w:val="single"/>
              </w:rPr>
            </w:pPr>
          </w:p>
          <w:p w14:paraId="66E86989" w14:textId="77777777" w:rsidR="00FC7A3E" w:rsidRDefault="00FC7A3E" w:rsidP="00DA0A41">
            <w:pPr>
              <w:jc w:val="both"/>
              <w:rPr>
                <w:rFonts w:cs="Arial"/>
              </w:rPr>
            </w:pPr>
            <w:r w:rsidRPr="00D0718A">
              <w:rPr>
                <w:rFonts w:cs="Arial"/>
              </w:rPr>
              <w:t>Ground floor dwellings to have defensible space</w:t>
            </w:r>
          </w:p>
          <w:p w14:paraId="7D25A9D2" w14:textId="77777777" w:rsidR="00FC7A3E" w:rsidRPr="00D0718A" w:rsidRDefault="00FC7A3E" w:rsidP="00DA0A41">
            <w:pPr>
              <w:jc w:val="both"/>
              <w:rPr>
                <w:rFonts w:cs="Arial"/>
              </w:rPr>
            </w:pPr>
          </w:p>
          <w:p w14:paraId="28F0E390" w14:textId="77777777" w:rsidR="00FC7A3E" w:rsidRPr="00D0718A" w:rsidRDefault="00FC7A3E" w:rsidP="00DA0A41">
            <w:pPr>
              <w:jc w:val="both"/>
              <w:rPr>
                <w:rFonts w:cs="Arial"/>
              </w:rPr>
            </w:pPr>
            <w:r w:rsidRPr="00D0718A">
              <w:rPr>
                <w:rFonts w:cs="Arial"/>
              </w:rPr>
              <w:t>Bin and bike stores to be integrated</w:t>
            </w:r>
          </w:p>
          <w:p w14:paraId="3C56D1F8" w14:textId="77777777" w:rsidR="00FC7A3E" w:rsidRDefault="00FC7A3E" w:rsidP="00DA0A41">
            <w:pPr>
              <w:jc w:val="both"/>
              <w:rPr>
                <w:rFonts w:cs="Arial"/>
              </w:rPr>
            </w:pPr>
            <w:r w:rsidRPr="00D0718A">
              <w:rPr>
                <w:rFonts w:cs="Arial"/>
              </w:rPr>
              <w:t>No street facing bedrooms at ground floor</w:t>
            </w:r>
          </w:p>
          <w:p w14:paraId="69C1FBF2" w14:textId="77777777" w:rsidR="00FC7A3E" w:rsidRPr="002902CE" w:rsidRDefault="00FC7A3E" w:rsidP="00DA0A41">
            <w:pPr>
              <w:jc w:val="both"/>
              <w:rPr>
                <w:rFonts w:cs="Arial"/>
                <w:u w:val="single"/>
              </w:rPr>
            </w:pPr>
          </w:p>
        </w:tc>
      </w:tr>
      <w:tr w:rsidR="00FC7A3E" w:rsidRPr="00D0718A" w14:paraId="38B2FDB5" w14:textId="77777777" w:rsidTr="00DA1624">
        <w:tc>
          <w:tcPr>
            <w:tcW w:w="1985" w:type="dxa"/>
          </w:tcPr>
          <w:p w14:paraId="4DBAF974" w14:textId="77777777" w:rsidR="00FC7A3E" w:rsidRPr="0003285E" w:rsidRDefault="00FC7A3E" w:rsidP="00DA0A41">
            <w:pPr>
              <w:jc w:val="both"/>
              <w:rPr>
                <w:rFonts w:cs="Arial"/>
                <w:b/>
                <w:bCs/>
                <w:u w:val="single"/>
              </w:rPr>
            </w:pPr>
            <w:r>
              <w:rPr>
                <w:rFonts w:cs="Arial"/>
                <w:b/>
                <w:bCs/>
              </w:rPr>
              <w:t>Principle B</w:t>
            </w:r>
          </w:p>
        </w:tc>
        <w:tc>
          <w:tcPr>
            <w:tcW w:w="7371" w:type="dxa"/>
          </w:tcPr>
          <w:p w14:paraId="1900B614" w14:textId="77777777" w:rsidR="00FC7A3E" w:rsidRDefault="00FC7A3E" w:rsidP="00DA0A41">
            <w:pPr>
              <w:jc w:val="both"/>
              <w:rPr>
                <w:rFonts w:cs="Arial"/>
                <w:u w:val="single"/>
              </w:rPr>
            </w:pPr>
            <w:r w:rsidRPr="002902CE">
              <w:rPr>
                <w:rFonts w:cs="Arial"/>
                <w:u w:val="single"/>
              </w:rPr>
              <w:t>3.1.8 Boundary treatment</w:t>
            </w:r>
          </w:p>
          <w:p w14:paraId="4B55D610" w14:textId="77777777" w:rsidR="00FC7A3E" w:rsidRPr="002902CE" w:rsidRDefault="00FC7A3E" w:rsidP="00DA0A41">
            <w:pPr>
              <w:jc w:val="both"/>
              <w:rPr>
                <w:rFonts w:cs="Arial"/>
                <w:u w:val="single"/>
              </w:rPr>
            </w:pPr>
          </w:p>
          <w:p w14:paraId="3701F184" w14:textId="77777777" w:rsidR="00FC7A3E" w:rsidRDefault="00FC7A3E" w:rsidP="00DA0A41">
            <w:pPr>
              <w:jc w:val="both"/>
              <w:rPr>
                <w:rFonts w:cs="Arial"/>
              </w:rPr>
            </w:pPr>
            <w:r w:rsidRPr="00D0718A">
              <w:rPr>
                <w:rFonts w:cs="Arial"/>
              </w:rPr>
              <w:t xml:space="preserve">Design and dimensions for treatment </w:t>
            </w:r>
          </w:p>
          <w:p w14:paraId="609B164A" w14:textId="77777777" w:rsidR="00FC7A3E" w:rsidRPr="00D0718A" w:rsidRDefault="00FC7A3E" w:rsidP="00DA0A41">
            <w:pPr>
              <w:jc w:val="both"/>
              <w:rPr>
                <w:rFonts w:cs="Arial"/>
              </w:rPr>
            </w:pPr>
          </w:p>
        </w:tc>
      </w:tr>
      <w:tr w:rsidR="00FC7A3E" w:rsidRPr="00D0718A" w14:paraId="21BDE489" w14:textId="77777777" w:rsidTr="00DA1624">
        <w:tc>
          <w:tcPr>
            <w:tcW w:w="1985" w:type="dxa"/>
          </w:tcPr>
          <w:p w14:paraId="45BBE704" w14:textId="77777777" w:rsidR="00FC7A3E" w:rsidRPr="004B240F" w:rsidRDefault="00FC7A3E" w:rsidP="00DA0A41">
            <w:pPr>
              <w:jc w:val="both"/>
              <w:rPr>
                <w:rFonts w:cs="Arial"/>
                <w:u w:val="single"/>
              </w:rPr>
            </w:pPr>
            <w:r>
              <w:rPr>
                <w:rFonts w:cs="Arial"/>
                <w:b/>
                <w:bCs/>
              </w:rPr>
              <w:t>Principle C</w:t>
            </w:r>
          </w:p>
        </w:tc>
        <w:tc>
          <w:tcPr>
            <w:tcW w:w="7371" w:type="dxa"/>
          </w:tcPr>
          <w:p w14:paraId="549A4B42" w14:textId="77777777" w:rsidR="00FC7A3E" w:rsidRPr="004B240F" w:rsidRDefault="00FC7A3E" w:rsidP="00DA0A41">
            <w:pPr>
              <w:jc w:val="both"/>
              <w:rPr>
                <w:rFonts w:cs="Arial"/>
                <w:u w:val="single"/>
              </w:rPr>
            </w:pPr>
            <w:r w:rsidRPr="004B240F">
              <w:rPr>
                <w:rFonts w:cs="Arial"/>
                <w:u w:val="single"/>
              </w:rPr>
              <w:t>3.1.9 Greening</w:t>
            </w:r>
          </w:p>
          <w:p w14:paraId="3E4615C4" w14:textId="77777777" w:rsidR="00FC7A3E" w:rsidRPr="00D0718A" w:rsidRDefault="00FC7A3E" w:rsidP="00DA0A41">
            <w:pPr>
              <w:jc w:val="both"/>
              <w:rPr>
                <w:rFonts w:cs="Arial"/>
              </w:rPr>
            </w:pPr>
          </w:p>
        </w:tc>
      </w:tr>
      <w:tr w:rsidR="00FC7A3E" w:rsidRPr="00D0718A" w14:paraId="2897ACD2" w14:textId="77777777" w:rsidTr="00DA1624">
        <w:tc>
          <w:tcPr>
            <w:tcW w:w="1985" w:type="dxa"/>
          </w:tcPr>
          <w:p w14:paraId="0CF51791" w14:textId="77777777" w:rsidR="00FC7A3E" w:rsidRPr="004B240F" w:rsidRDefault="00FC7A3E" w:rsidP="00DA0A41">
            <w:pPr>
              <w:jc w:val="both"/>
              <w:rPr>
                <w:rFonts w:cs="Arial"/>
                <w:u w:val="single"/>
              </w:rPr>
            </w:pPr>
            <w:r>
              <w:rPr>
                <w:rFonts w:cs="Arial"/>
                <w:b/>
                <w:bCs/>
              </w:rPr>
              <w:t>Principle D</w:t>
            </w:r>
          </w:p>
        </w:tc>
        <w:tc>
          <w:tcPr>
            <w:tcW w:w="7371" w:type="dxa"/>
          </w:tcPr>
          <w:p w14:paraId="3195C734" w14:textId="77777777" w:rsidR="00FC7A3E" w:rsidRPr="004B240F" w:rsidRDefault="00FC7A3E" w:rsidP="00DA0A41">
            <w:pPr>
              <w:jc w:val="both"/>
              <w:rPr>
                <w:rFonts w:cs="Arial"/>
                <w:u w:val="single"/>
              </w:rPr>
            </w:pPr>
            <w:r w:rsidRPr="004B240F">
              <w:rPr>
                <w:rFonts w:cs="Arial"/>
                <w:u w:val="single"/>
              </w:rPr>
              <w:t>3.1.10 Communal Amenity Space</w:t>
            </w:r>
          </w:p>
          <w:p w14:paraId="5A07F233" w14:textId="77777777" w:rsidR="00FC7A3E" w:rsidRDefault="00FC7A3E" w:rsidP="00DA0A41">
            <w:pPr>
              <w:jc w:val="both"/>
              <w:rPr>
                <w:rFonts w:cs="Arial"/>
              </w:rPr>
            </w:pPr>
          </w:p>
          <w:p w14:paraId="7DE38656" w14:textId="77777777" w:rsidR="00FC7A3E" w:rsidRDefault="00FC7A3E" w:rsidP="00DA0A41">
            <w:pPr>
              <w:jc w:val="both"/>
              <w:rPr>
                <w:rFonts w:cs="Arial"/>
              </w:rPr>
            </w:pPr>
            <w:r>
              <w:rPr>
                <w:rFonts w:cs="Arial"/>
              </w:rPr>
              <w:t xml:space="preserve">Distinction between private, </w:t>
            </w:r>
            <w:proofErr w:type="gramStart"/>
            <w:r>
              <w:rPr>
                <w:rFonts w:cs="Arial"/>
              </w:rPr>
              <w:t>public</w:t>
            </w:r>
            <w:proofErr w:type="gramEnd"/>
            <w:r>
              <w:rPr>
                <w:rFonts w:cs="Arial"/>
              </w:rPr>
              <w:t xml:space="preserve"> and communal</w:t>
            </w:r>
          </w:p>
          <w:p w14:paraId="1CA57C18" w14:textId="77777777" w:rsidR="00FC7A3E" w:rsidRDefault="00FC7A3E" w:rsidP="00DA0A41">
            <w:pPr>
              <w:jc w:val="both"/>
              <w:rPr>
                <w:rFonts w:cs="Arial"/>
              </w:rPr>
            </w:pPr>
            <w:r>
              <w:rPr>
                <w:rFonts w:cs="Arial"/>
              </w:rPr>
              <w:t xml:space="preserve">Accessible </w:t>
            </w:r>
          </w:p>
          <w:p w14:paraId="09E4C64A" w14:textId="77777777" w:rsidR="00FC7A3E" w:rsidRPr="00D0718A" w:rsidRDefault="00FC7A3E" w:rsidP="00DA0A41">
            <w:pPr>
              <w:jc w:val="both"/>
              <w:rPr>
                <w:rFonts w:cs="Arial"/>
              </w:rPr>
            </w:pPr>
          </w:p>
        </w:tc>
      </w:tr>
      <w:tr w:rsidR="00FC7A3E" w:rsidRPr="00D0718A" w14:paraId="75C21150" w14:textId="77777777" w:rsidTr="00DA1624">
        <w:tc>
          <w:tcPr>
            <w:tcW w:w="1985" w:type="dxa"/>
          </w:tcPr>
          <w:p w14:paraId="5DCDC702" w14:textId="77777777" w:rsidR="00FC7A3E" w:rsidRPr="00CE56F1" w:rsidRDefault="00FC7A3E" w:rsidP="00DA0A41">
            <w:pPr>
              <w:jc w:val="both"/>
              <w:rPr>
                <w:rFonts w:cs="Arial"/>
                <w:u w:val="single"/>
              </w:rPr>
            </w:pPr>
            <w:r>
              <w:rPr>
                <w:rFonts w:cs="Arial"/>
                <w:b/>
                <w:bCs/>
              </w:rPr>
              <w:t>Principle E</w:t>
            </w:r>
          </w:p>
        </w:tc>
        <w:tc>
          <w:tcPr>
            <w:tcW w:w="7371" w:type="dxa"/>
          </w:tcPr>
          <w:p w14:paraId="3A5885F2" w14:textId="77777777" w:rsidR="00FC7A3E" w:rsidRPr="00CE56F1" w:rsidRDefault="00FC7A3E" w:rsidP="00DA0A41">
            <w:pPr>
              <w:jc w:val="both"/>
              <w:rPr>
                <w:rFonts w:cs="Arial"/>
                <w:u w:val="single"/>
              </w:rPr>
            </w:pPr>
            <w:r w:rsidRPr="00CE56F1">
              <w:rPr>
                <w:rFonts w:cs="Arial"/>
                <w:u w:val="single"/>
              </w:rPr>
              <w:t>3.1.11 Entrances</w:t>
            </w:r>
          </w:p>
          <w:p w14:paraId="7117762B" w14:textId="77777777" w:rsidR="00FC7A3E" w:rsidRDefault="00FC7A3E" w:rsidP="00DA0A41">
            <w:pPr>
              <w:jc w:val="both"/>
              <w:rPr>
                <w:rFonts w:cs="Arial"/>
              </w:rPr>
            </w:pPr>
          </w:p>
          <w:p w14:paraId="2C1D46FC" w14:textId="77777777" w:rsidR="00FC7A3E" w:rsidRDefault="00FC7A3E" w:rsidP="00DA0A41">
            <w:pPr>
              <w:jc w:val="both"/>
              <w:rPr>
                <w:rFonts w:cs="Arial"/>
              </w:rPr>
            </w:pPr>
            <w:r>
              <w:rPr>
                <w:rFonts w:cs="Arial"/>
              </w:rPr>
              <w:t>Predominantly for new build</w:t>
            </w:r>
          </w:p>
          <w:p w14:paraId="7A38F2A8" w14:textId="77777777" w:rsidR="00FC7A3E" w:rsidRPr="00D0718A" w:rsidRDefault="00FC7A3E" w:rsidP="00DA0A41">
            <w:pPr>
              <w:jc w:val="both"/>
              <w:rPr>
                <w:rFonts w:cs="Arial"/>
              </w:rPr>
            </w:pPr>
          </w:p>
        </w:tc>
      </w:tr>
      <w:tr w:rsidR="00FC7A3E" w:rsidRPr="00D0718A" w14:paraId="4C0D9845" w14:textId="77777777" w:rsidTr="00DA1624">
        <w:tc>
          <w:tcPr>
            <w:tcW w:w="1985" w:type="dxa"/>
          </w:tcPr>
          <w:p w14:paraId="311F14B0" w14:textId="77777777" w:rsidR="00FC7A3E" w:rsidRPr="001C7D32" w:rsidRDefault="00FC7A3E" w:rsidP="00DA0A41">
            <w:pPr>
              <w:jc w:val="both"/>
              <w:rPr>
                <w:rFonts w:cs="Arial"/>
                <w:u w:val="single"/>
              </w:rPr>
            </w:pPr>
            <w:r>
              <w:rPr>
                <w:rFonts w:cs="Arial"/>
                <w:b/>
                <w:bCs/>
              </w:rPr>
              <w:t>Principle F</w:t>
            </w:r>
          </w:p>
        </w:tc>
        <w:tc>
          <w:tcPr>
            <w:tcW w:w="7371" w:type="dxa"/>
          </w:tcPr>
          <w:p w14:paraId="106969B3" w14:textId="77777777" w:rsidR="00FC7A3E" w:rsidRDefault="00FC7A3E" w:rsidP="00DA0A41">
            <w:pPr>
              <w:jc w:val="both"/>
              <w:rPr>
                <w:rFonts w:cs="Arial"/>
                <w:u w:val="single"/>
              </w:rPr>
            </w:pPr>
            <w:r w:rsidRPr="001C7D32">
              <w:rPr>
                <w:rFonts w:cs="Arial"/>
                <w:u w:val="single"/>
              </w:rPr>
              <w:t>3.1.13 Private Amenity Space</w:t>
            </w:r>
          </w:p>
          <w:p w14:paraId="3708AFA0" w14:textId="77777777" w:rsidR="00FC7A3E" w:rsidRPr="001C7D32" w:rsidRDefault="00FC7A3E" w:rsidP="00DA0A41">
            <w:pPr>
              <w:jc w:val="both"/>
              <w:rPr>
                <w:rFonts w:cs="Arial"/>
                <w:u w:val="single"/>
              </w:rPr>
            </w:pPr>
          </w:p>
          <w:p w14:paraId="63465E6C" w14:textId="77777777" w:rsidR="00FC7A3E" w:rsidRDefault="00FC7A3E" w:rsidP="00DA0A41">
            <w:pPr>
              <w:jc w:val="both"/>
              <w:rPr>
                <w:rFonts w:cs="Arial"/>
              </w:rPr>
            </w:pPr>
            <w:r w:rsidRPr="00D0718A">
              <w:rPr>
                <w:rFonts w:cs="Arial"/>
              </w:rPr>
              <w:t>Directly accessible kitchen/living space as opposed to bedrooms</w:t>
            </w:r>
          </w:p>
          <w:p w14:paraId="1DA13226" w14:textId="77777777" w:rsidR="00FC7A3E" w:rsidRPr="00D0718A" w:rsidRDefault="00FC7A3E" w:rsidP="00DA0A41">
            <w:pPr>
              <w:jc w:val="both"/>
              <w:rPr>
                <w:rFonts w:cs="Arial"/>
              </w:rPr>
            </w:pPr>
          </w:p>
        </w:tc>
      </w:tr>
      <w:tr w:rsidR="00FC7A3E" w:rsidRPr="00D0718A" w14:paraId="2A56A8A6" w14:textId="77777777" w:rsidTr="00DA1624">
        <w:tc>
          <w:tcPr>
            <w:tcW w:w="1985" w:type="dxa"/>
          </w:tcPr>
          <w:p w14:paraId="40977F4F" w14:textId="77777777" w:rsidR="00FC7A3E" w:rsidRPr="001D38FC" w:rsidRDefault="00FC7A3E" w:rsidP="00DA0A41">
            <w:pPr>
              <w:jc w:val="both"/>
              <w:rPr>
                <w:rFonts w:cs="Arial"/>
                <w:u w:val="single"/>
              </w:rPr>
            </w:pPr>
            <w:r>
              <w:rPr>
                <w:rFonts w:cs="Arial"/>
                <w:b/>
                <w:bCs/>
              </w:rPr>
              <w:t>Principle G</w:t>
            </w:r>
          </w:p>
        </w:tc>
        <w:tc>
          <w:tcPr>
            <w:tcW w:w="7371" w:type="dxa"/>
          </w:tcPr>
          <w:p w14:paraId="0EFBD74A" w14:textId="77777777" w:rsidR="00FC7A3E" w:rsidRDefault="00FC7A3E" w:rsidP="00DA0A41">
            <w:pPr>
              <w:jc w:val="both"/>
              <w:rPr>
                <w:rFonts w:cs="Arial"/>
                <w:u w:val="single"/>
              </w:rPr>
            </w:pPr>
            <w:r w:rsidRPr="001D38FC">
              <w:rPr>
                <w:rFonts w:cs="Arial"/>
                <w:u w:val="single"/>
              </w:rPr>
              <w:t>3.1.14 Cycle Storage</w:t>
            </w:r>
          </w:p>
          <w:p w14:paraId="6E7EE056" w14:textId="77777777" w:rsidR="00FC7A3E" w:rsidRPr="001D38FC" w:rsidRDefault="00FC7A3E" w:rsidP="00DA0A41">
            <w:pPr>
              <w:jc w:val="both"/>
              <w:rPr>
                <w:rFonts w:cs="Arial"/>
                <w:u w:val="single"/>
              </w:rPr>
            </w:pPr>
          </w:p>
          <w:p w14:paraId="147134C3" w14:textId="77777777" w:rsidR="00FC7A3E" w:rsidRDefault="00FC7A3E" w:rsidP="00DA0A41">
            <w:pPr>
              <w:jc w:val="both"/>
              <w:rPr>
                <w:rFonts w:cs="Arial"/>
              </w:rPr>
            </w:pPr>
            <w:r w:rsidRPr="00D0718A">
              <w:rPr>
                <w:rFonts w:cs="Arial"/>
              </w:rPr>
              <w:t xml:space="preserve">Provides some guidance and an image for a </w:t>
            </w:r>
            <w:r>
              <w:rPr>
                <w:rFonts w:cs="Arial"/>
              </w:rPr>
              <w:t>new build</w:t>
            </w:r>
          </w:p>
          <w:p w14:paraId="5601D782" w14:textId="77777777" w:rsidR="00FC7A3E" w:rsidRDefault="00FC7A3E" w:rsidP="00DA0A41">
            <w:pPr>
              <w:jc w:val="both"/>
              <w:rPr>
                <w:rFonts w:cs="Arial"/>
              </w:rPr>
            </w:pPr>
          </w:p>
          <w:p w14:paraId="1FB578AF" w14:textId="77777777" w:rsidR="00FC7A3E" w:rsidRDefault="00FC7A3E" w:rsidP="00DA0A41">
            <w:pPr>
              <w:jc w:val="both"/>
              <w:rPr>
                <w:rFonts w:cs="Arial"/>
              </w:rPr>
            </w:pPr>
            <w:r>
              <w:rPr>
                <w:rFonts w:cs="Arial"/>
              </w:rPr>
              <w:t>Internal store within the dwelling is shown</w:t>
            </w:r>
          </w:p>
          <w:p w14:paraId="0FE39EFA" w14:textId="77777777" w:rsidR="00FC7A3E" w:rsidRPr="00D0718A" w:rsidRDefault="00FC7A3E" w:rsidP="00DA0A41">
            <w:pPr>
              <w:jc w:val="both"/>
              <w:rPr>
                <w:rFonts w:cs="Arial"/>
              </w:rPr>
            </w:pPr>
          </w:p>
        </w:tc>
      </w:tr>
      <w:tr w:rsidR="00FC7A3E" w:rsidRPr="00D0718A" w14:paraId="649D2054" w14:textId="77777777" w:rsidTr="00DA1624">
        <w:tc>
          <w:tcPr>
            <w:tcW w:w="1985" w:type="dxa"/>
          </w:tcPr>
          <w:p w14:paraId="5990BB40" w14:textId="17189EA2" w:rsidR="00FC7A3E" w:rsidRPr="00A30CDF" w:rsidRDefault="00BD0696" w:rsidP="00DA0A41">
            <w:pPr>
              <w:jc w:val="both"/>
              <w:rPr>
                <w:rFonts w:cs="Arial"/>
                <w:u w:val="single"/>
              </w:rPr>
            </w:pPr>
            <w:r w:rsidRPr="00887164">
              <w:rPr>
                <w:rFonts w:cs="Arial"/>
                <w:b/>
                <w:bCs/>
              </w:rPr>
              <w:t>Principle H</w:t>
            </w:r>
          </w:p>
        </w:tc>
        <w:tc>
          <w:tcPr>
            <w:tcW w:w="7371" w:type="dxa"/>
          </w:tcPr>
          <w:p w14:paraId="206C6303" w14:textId="77777777" w:rsidR="00FC7A3E" w:rsidRDefault="00FC7A3E" w:rsidP="00DA0A41">
            <w:pPr>
              <w:jc w:val="both"/>
              <w:rPr>
                <w:rFonts w:cs="Arial"/>
                <w:u w:val="single"/>
              </w:rPr>
            </w:pPr>
            <w:r w:rsidRPr="00A30CDF">
              <w:rPr>
                <w:rFonts w:cs="Arial"/>
                <w:u w:val="single"/>
              </w:rPr>
              <w:t>3.1.15 Refuse Storage</w:t>
            </w:r>
          </w:p>
          <w:p w14:paraId="791F3EFB" w14:textId="77777777" w:rsidR="00FC7A3E" w:rsidRPr="00A30CDF" w:rsidRDefault="00FC7A3E" w:rsidP="00DA0A41">
            <w:pPr>
              <w:jc w:val="both"/>
              <w:rPr>
                <w:rFonts w:cs="Arial"/>
                <w:u w:val="single"/>
              </w:rPr>
            </w:pPr>
          </w:p>
          <w:p w14:paraId="3EC01BAB" w14:textId="77777777" w:rsidR="00FC7A3E" w:rsidRPr="00D0718A" w:rsidRDefault="00FC7A3E" w:rsidP="00DA0A41">
            <w:pPr>
              <w:jc w:val="both"/>
              <w:rPr>
                <w:rFonts w:cs="Arial"/>
              </w:rPr>
            </w:pPr>
            <w:r w:rsidRPr="00D0718A">
              <w:rPr>
                <w:rFonts w:cs="Arial"/>
              </w:rPr>
              <w:t>Avoid visual clutter in streetscape</w:t>
            </w:r>
          </w:p>
          <w:p w14:paraId="6C58D1DD" w14:textId="2EEBB6AC" w:rsidR="00FC7A3E" w:rsidRPr="00D0718A" w:rsidRDefault="00FC7A3E" w:rsidP="00DA0A41">
            <w:pPr>
              <w:jc w:val="both"/>
              <w:rPr>
                <w:rFonts w:cs="Arial"/>
              </w:rPr>
            </w:pPr>
            <w:r w:rsidRPr="00D0718A">
              <w:rPr>
                <w:rFonts w:cs="Arial"/>
              </w:rPr>
              <w:t>Limited to 5m wide on building façade</w:t>
            </w:r>
          </w:p>
          <w:p w14:paraId="2677FFCD" w14:textId="77777777" w:rsidR="00FC7A3E" w:rsidRPr="00D0718A" w:rsidRDefault="00FC7A3E" w:rsidP="00DA0A41">
            <w:pPr>
              <w:jc w:val="both"/>
              <w:rPr>
                <w:rFonts w:cs="Arial"/>
              </w:rPr>
            </w:pPr>
          </w:p>
        </w:tc>
      </w:tr>
      <w:tr w:rsidR="00FC7A3E" w:rsidRPr="00D0718A" w14:paraId="357FB741" w14:textId="77777777" w:rsidTr="00DA1624">
        <w:tc>
          <w:tcPr>
            <w:tcW w:w="1985" w:type="dxa"/>
          </w:tcPr>
          <w:p w14:paraId="7AEE33F1" w14:textId="727FDBCB" w:rsidR="00FC7A3E" w:rsidRPr="00887164" w:rsidRDefault="00FC7A3E" w:rsidP="00DA0A41">
            <w:pPr>
              <w:jc w:val="both"/>
              <w:rPr>
                <w:rFonts w:cs="Arial"/>
                <w:b/>
                <w:bCs/>
              </w:rPr>
            </w:pPr>
            <w:r w:rsidRPr="00887164">
              <w:rPr>
                <w:rFonts w:cs="Arial"/>
                <w:b/>
                <w:bCs/>
              </w:rPr>
              <w:t xml:space="preserve">Principle </w:t>
            </w:r>
            <w:r w:rsidR="00BD0696">
              <w:rPr>
                <w:rFonts w:cs="Arial"/>
                <w:b/>
                <w:bCs/>
              </w:rPr>
              <w:t>I</w:t>
            </w:r>
          </w:p>
        </w:tc>
        <w:tc>
          <w:tcPr>
            <w:tcW w:w="7371" w:type="dxa"/>
          </w:tcPr>
          <w:p w14:paraId="1F4BA74E" w14:textId="77777777" w:rsidR="00FC7A3E" w:rsidRDefault="00FC7A3E" w:rsidP="00DA0A41">
            <w:pPr>
              <w:jc w:val="both"/>
              <w:rPr>
                <w:rFonts w:cs="Arial"/>
                <w:u w:val="single"/>
              </w:rPr>
            </w:pPr>
            <w:r w:rsidRPr="00424419">
              <w:rPr>
                <w:rFonts w:cs="Arial"/>
                <w:u w:val="single"/>
              </w:rPr>
              <w:t>3.1.16 Car parking</w:t>
            </w:r>
          </w:p>
          <w:p w14:paraId="345E0D77" w14:textId="77777777" w:rsidR="00FC7A3E" w:rsidRDefault="00FC7A3E" w:rsidP="00DA0A41">
            <w:pPr>
              <w:jc w:val="both"/>
              <w:rPr>
                <w:rFonts w:cs="Arial"/>
                <w:u w:val="single"/>
              </w:rPr>
            </w:pPr>
          </w:p>
          <w:p w14:paraId="17375591" w14:textId="77777777" w:rsidR="00FC7A3E" w:rsidRPr="00731FE6" w:rsidRDefault="00FC7A3E" w:rsidP="00DA0A41">
            <w:pPr>
              <w:jc w:val="both"/>
              <w:rPr>
                <w:rFonts w:cs="Arial"/>
              </w:rPr>
            </w:pPr>
            <w:r w:rsidRPr="00731FE6">
              <w:rPr>
                <w:rFonts w:cs="Arial"/>
              </w:rPr>
              <w:t>Car free development is the preferred approach on small sites (London</w:t>
            </w:r>
            <w:r>
              <w:rPr>
                <w:rFonts w:cs="Arial"/>
              </w:rPr>
              <w:t xml:space="preserve"> </w:t>
            </w:r>
            <w:r w:rsidRPr="00731FE6">
              <w:rPr>
                <w:rFonts w:cs="Arial"/>
              </w:rPr>
              <w:t>Plan T6)</w:t>
            </w:r>
          </w:p>
          <w:p w14:paraId="40DA4C28" w14:textId="77777777" w:rsidR="00FC7A3E" w:rsidRPr="00424419" w:rsidRDefault="00FC7A3E" w:rsidP="00DA0A41">
            <w:pPr>
              <w:jc w:val="both"/>
              <w:rPr>
                <w:rFonts w:cs="Arial"/>
                <w:u w:val="single"/>
              </w:rPr>
            </w:pPr>
          </w:p>
          <w:p w14:paraId="11A86204" w14:textId="77777777" w:rsidR="00FC7A3E" w:rsidRDefault="00FC7A3E" w:rsidP="00DA0A41">
            <w:pPr>
              <w:jc w:val="both"/>
              <w:rPr>
                <w:rFonts w:cs="Arial"/>
              </w:rPr>
            </w:pPr>
            <w:r w:rsidRPr="00D0718A">
              <w:rPr>
                <w:rFonts w:cs="Arial"/>
              </w:rPr>
              <w:t>Off street parking only where it already exists</w:t>
            </w:r>
          </w:p>
          <w:p w14:paraId="03C4F1DF" w14:textId="77777777" w:rsidR="00FC7A3E" w:rsidRPr="00D0718A" w:rsidRDefault="00FC7A3E" w:rsidP="00DA0A41">
            <w:pPr>
              <w:jc w:val="both"/>
              <w:rPr>
                <w:rFonts w:cs="Arial"/>
              </w:rPr>
            </w:pPr>
          </w:p>
        </w:tc>
      </w:tr>
      <w:tr w:rsidR="00ED4F89" w:rsidRPr="00ED4F89" w14:paraId="22586F6D" w14:textId="77777777" w:rsidTr="000025F7">
        <w:tc>
          <w:tcPr>
            <w:tcW w:w="9356" w:type="dxa"/>
            <w:gridSpan w:val="2"/>
            <w:shd w:val="clear" w:color="auto" w:fill="BFBFBF" w:themeFill="background1" w:themeFillShade="BF"/>
          </w:tcPr>
          <w:p w14:paraId="59796D06" w14:textId="2872C1B6" w:rsidR="00FC7A3E" w:rsidRPr="00ED4F89" w:rsidRDefault="00FC7A3E" w:rsidP="00BA4314">
            <w:pPr>
              <w:keepNext/>
              <w:spacing w:before="60" w:after="60"/>
              <w:jc w:val="center"/>
              <w:rPr>
                <w:rFonts w:cs="Arial"/>
                <w:u w:val="single"/>
              </w:rPr>
            </w:pPr>
            <w:r w:rsidRPr="00ED4F89">
              <w:rPr>
                <w:rFonts w:cs="Arial"/>
                <w:b/>
                <w:bCs/>
                <w:u w:val="single"/>
              </w:rPr>
              <w:lastRenderedPageBreak/>
              <w:t xml:space="preserve">Proposed New Principles – Specific to </w:t>
            </w:r>
            <w:r w:rsidR="00D71CA3">
              <w:rPr>
                <w:rFonts w:cs="Arial"/>
                <w:b/>
                <w:bCs/>
                <w:u w:val="single"/>
              </w:rPr>
              <w:t>Residential</w:t>
            </w:r>
            <w:r w:rsidRPr="00ED4F89">
              <w:rPr>
                <w:rFonts w:cs="Arial"/>
                <w:b/>
                <w:bCs/>
                <w:u w:val="single"/>
              </w:rPr>
              <w:t xml:space="preserve"> Conversions</w:t>
            </w:r>
          </w:p>
        </w:tc>
      </w:tr>
      <w:tr w:rsidR="00ED4F89" w:rsidRPr="00ED4F89" w14:paraId="0F418A1D" w14:textId="77777777" w:rsidTr="00DA1624">
        <w:tc>
          <w:tcPr>
            <w:tcW w:w="1985" w:type="dxa"/>
          </w:tcPr>
          <w:p w14:paraId="35B75FD2" w14:textId="2E1FE392" w:rsidR="00FC7A3E" w:rsidRPr="00ED4F89" w:rsidRDefault="00FC7A3E" w:rsidP="009F2172">
            <w:pPr>
              <w:keepNext/>
              <w:jc w:val="both"/>
              <w:rPr>
                <w:rFonts w:cs="Arial"/>
                <w:b/>
                <w:bCs/>
              </w:rPr>
            </w:pPr>
            <w:r w:rsidRPr="00ED4F89">
              <w:rPr>
                <w:rFonts w:cs="Arial"/>
                <w:b/>
                <w:bCs/>
              </w:rPr>
              <w:t xml:space="preserve">Principle </w:t>
            </w:r>
            <w:r w:rsidR="00BD0696" w:rsidRPr="00ED4F89">
              <w:rPr>
                <w:rFonts w:cs="Arial"/>
                <w:b/>
                <w:bCs/>
              </w:rPr>
              <w:t>J</w:t>
            </w:r>
          </w:p>
        </w:tc>
        <w:tc>
          <w:tcPr>
            <w:tcW w:w="7371" w:type="dxa"/>
          </w:tcPr>
          <w:p w14:paraId="56E3D01B" w14:textId="77777777" w:rsidR="00FC7A3E" w:rsidRPr="00ED4F89" w:rsidRDefault="00FC7A3E" w:rsidP="009F2172">
            <w:pPr>
              <w:keepNext/>
              <w:jc w:val="both"/>
              <w:rPr>
                <w:rFonts w:cs="Arial"/>
              </w:rPr>
            </w:pPr>
            <w:r w:rsidRPr="00ED4F89">
              <w:rPr>
                <w:rFonts w:cs="Arial"/>
              </w:rPr>
              <w:t xml:space="preserve">Forecourt treatment / arrangement </w:t>
            </w:r>
          </w:p>
          <w:p w14:paraId="7CB38D52" w14:textId="77777777" w:rsidR="00FC7A3E" w:rsidRPr="00ED4F89" w:rsidRDefault="00FC7A3E" w:rsidP="009F2172">
            <w:pPr>
              <w:keepNext/>
              <w:jc w:val="both"/>
              <w:rPr>
                <w:rFonts w:cs="Arial"/>
                <w:u w:val="single"/>
              </w:rPr>
            </w:pPr>
          </w:p>
        </w:tc>
      </w:tr>
      <w:tr w:rsidR="00ED4F89" w:rsidRPr="00ED4F89" w14:paraId="1B8CFE87" w14:textId="77777777" w:rsidTr="00DA1624">
        <w:tc>
          <w:tcPr>
            <w:tcW w:w="1985" w:type="dxa"/>
          </w:tcPr>
          <w:p w14:paraId="605C2FCF" w14:textId="186A3660" w:rsidR="00FC7A3E" w:rsidRPr="00ED4F89" w:rsidRDefault="00FC7A3E" w:rsidP="00DA0A41">
            <w:pPr>
              <w:jc w:val="both"/>
              <w:rPr>
                <w:rFonts w:cs="Arial"/>
              </w:rPr>
            </w:pPr>
            <w:r w:rsidRPr="00ED4F89">
              <w:rPr>
                <w:rFonts w:cs="Arial"/>
                <w:b/>
                <w:bCs/>
              </w:rPr>
              <w:t xml:space="preserve">Principle </w:t>
            </w:r>
            <w:r w:rsidR="00BD0696" w:rsidRPr="00ED4F89">
              <w:rPr>
                <w:rFonts w:cs="Arial"/>
                <w:b/>
                <w:bCs/>
              </w:rPr>
              <w:t>K</w:t>
            </w:r>
          </w:p>
        </w:tc>
        <w:tc>
          <w:tcPr>
            <w:tcW w:w="7371" w:type="dxa"/>
          </w:tcPr>
          <w:p w14:paraId="4BA2F7A8" w14:textId="77777777" w:rsidR="00FC7A3E" w:rsidRPr="00ED4F89" w:rsidRDefault="00FC7A3E" w:rsidP="00DA0A41">
            <w:pPr>
              <w:jc w:val="both"/>
              <w:rPr>
                <w:rFonts w:cs="Arial"/>
                <w:u w:val="single"/>
              </w:rPr>
            </w:pPr>
            <w:r w:rsidRPr="00ED4F89">
              <w:rPr>
                <w:rFonts w:cs="Arial"/>
              </w:rPr>
              <w:t xml:space="preserve">Over-intensive development </w:t>
            </w:r>
          </w:p>
          <w:p w14:paraId="4603D19B" w14:textId="77777777" w:rsidR="00FC7A3E" w:rsidRPr="00ED4F89" w:rsidRDefault="00FC7A3E" w:rsidP="00DA0A41">
            <w:pPr>
              <w:jc w:val="both"/>
              <w:rPr>
                <w:rFonts w:cs="Arial"/>
                <w:u w:val="single"/>
              </w:rPr>
            </w:pPr>
          </w:p>
        </w:tc>
      </w:tr>
      <w:tr w:rsidR="00ED4F89" w:rsidRPr="00ED4F89" w14:paraId="39AB16CF" w14:textId="77777777" w:rsidTr="00DA1624">
        <w:tc>
          <w:tcPr>
            <w:tcW w:w="1985" w:type="dxa"/>
          </w:tcPr>
          <w:p w14:paraId="0B0D4502" w14:textId="3DB4CEA7" w:rsidR="00FC7A3E" w:rsidRPr="00ED4F89" w:rsidRDefault="00FC7A3E" w:rsidP="00DA0A41">
            <w:pPr>
              <w:jc w:val="both"/>
              <w:rPr>
                <w:rFonts w:cs="Arial"/>
              </w:rPr>
            </w:pPr>
            <w:r w:rsidRPr="00ED4F89">
              <w:rPr>
                <w:rFonts w:cs="Arial"/>
                <w:b/>
                <w:bCs/>
              </w:rPr>
              <w:t xml:space="preserve">Principle </w:t>
            </w:r>
            <w:r w:rsidR="00BD0696" w:rsidRPr="00ED4F89">
              <w:rPr>
                <w:rFonts w:cs="Arial"/>
                <w:b/>
                <w:bCs/>
              </w:rPr>
              <w:t>L</w:t>
            </w:r>
          </w:p>
        </w:tc>
        <w:tc>
          <w:tcPr>
            <w:tcW w:w="7371" w:type="dxa"/>
          </w:tcPr>
          <w:p w14:paraId="171D078A" w14:textId="09D4B9D5" w:rsidR="00FC7A3E" w:rsidRPr="00ED4F89" w:rsidRDefault="00FC7A3E" w:rsidP="00DA0A41">
            <w:pPr>
              <w:jc w:val="both"/>
              <w:rPr>
                <w:rFonts w:cs="Arial"/>
                <w:u w:val="single"/>
              </w:rPr>
            </w:pPr>
            <w:r w:rsidRPr="00ED4F89">
              <w:rPr>
                <w:rFonts w:cs="Arial"/>
              </w:rPr>
              <w:t xml:space="preserve">Providing family-sized unit </w:t>
            </w:r>
          </w:p>
          <w:p w14:paraId="4FB6FA3F" w14:textId="77777777" w:rsidR="00FC7A3E" w:rsidRPr="00ED4F89" w:rsidRDefault="00FC7A3E" w:rsidP="00DA0A41">
            <w:pPr>
              <w:jc w:val="both"/>
              <w:rPr>
                <w:rFonts w:cs="Arial"/>
                <w:u w:val="single"/>
              </w:rPr>
            </w:pPr>
          </w:p>
        </w:tc>
      </w:tr>
      <w:tr w:rsidR="00ED4F89" w:rsidRPr="00ED4F89" w14:paraId="6638E237" w14:textId="77777777" w:rsidTr="00DA1624">
        <w:tc>
          <w:tcPr>
            <w:tcW w:w="1985" w:type="dxa"/>
          </w:tcPr>
          <w:p w14:paraId="7396C775" w14:textId="31373B53" w:rsidR="00FC7A3E" w:rsidRPr="00ED4F89" w:rsidRDefault="00FC7A3E" w:rsidP="00DA0A41">
            <w:pPr>
              <w:jc w:val="both"/>
              <w:rPr>
                <w:rFonts w:cs="Arial"/>
                <w:u w:val="single"/>
              </w:rPr>
            </w:pPr>
            <w:r w:rsidRPr="00ED4F89">
              <w:rPr>
                <w:rFonts w:cs="Arial"/>
                <w:b/>
                <w:bCs/>
              </w:rPr>
              <w:t>Principle</w:t>
            </w:r>
            <w:r w:rsidR="00BD0696" w:rsidRPr="00ED4F89">
              <w:rPr>
                <w:rFonts w:cs="Arial"/>
                <w:b/>
                <w:bCs/>
              </w:rPr>
              <w:t xml:space="preserve"> M</w:t>
            </w:r>
          </w:p>
        </w:tc>
        <w:tc>
          <w:tcPr>
            <w:tcW w:w="7371" w:type="dxa"/>
          </w:tcPr>
          <w:p w14:paraId="7A6EBF8C" w14:textId="2E6A3F36" w:rsidR="00FC7A3E" w:rsidRPr="00ED4F89" w:rsidRDefault="00FC7A3E" w:rsidP="00DA0A41">
            <w:pPr>
              <w:jc w:val="both"/>
              <w:rPr>
                <w:rFonts w:cs="Arial"/>
              </w:rPr>
            </w:pPr>
            <w:r w:rsidRPr="00ED4F89">
              <w:rPr>
                <w:rFonts w:cs="Arial"/>
              </w:rPr>
              <w:t xml:space="preserve">Window &amp; door openings  </w:t>
            </w:r>
          </w:p>
          <w:p w14:paraId="05B75B5E" w14:textId="77777777" w:rsidR="00FC7A3E" w:rsidRPr="00ED4F89" w:rsidRDefault="00FC7A3E" w:rsidP="00DA0A41">
            <w:pPr>
              <w:jc w:val="both"/>
              <w:rPr>
                <w:rFonts w:cs="Arial"/>
                <w:u w:val="single"/>
              </w:rPr>
            </w:pPr>
          </w:p>
        </w:tc>
      </w:tr>
      <w:tr w:rsidR="00ED4F89" w:rsidRPr="00ED4F89" w14:paraId="6CE52382" w14:textId="77777777" w:rsidTr="00DA1624">
        <w:tc>
          <w:tcPr>
            <w:tcW w:w="1985" w:type="dxa"/>
          </w:tcPr>
          <w:p w14:paraId="2F4B333F" w14:textId="1B6B0888" w:rsidR="00FC7A3E" w:rsidRPr="00ED4F89" w:rsidRDefault="00FC7A3E" w:rsidP="00DA0A41">
            <w:pPr>
              <w:jc w:val="both"/>
              <w:rPr>
                <w:rFonts w:cs="Arial"/>
                <w:u w:val="single"/>
              </w:rPr>
            </w:pPr>
            <w:r w:rsidRPr="00ED4F89">
              <w:rPr>
                <w:rFonts w:cs="Arial"/>
                <w:b/>
                <w:bCs/>
              </w:rPr>
              <w:t xml:space="preserve">Principle </w:t>
            </w:r>
            <w:r w:rsidR="00BD0696" w:rsidRPr="00ED4F89">
              <w:rPr>
                <w:rFonts w:cs="Arial"/>
                <w:b/>
                <w:bCs/>
              </w:rPr>
              <w:t>N</w:t>
            </w:r>
          </w:p>
          <w:p w14:paraId="72F9B480" w14:textId="77777777" w:rsidR="00FC7A3E" w:rsidRPr="00ED4F89" w:rsidRDefault="00FC7A3E" w:rsidP="00DA0A41">
            <w:pPr>
              <w:jc w:val="both"/>
              <w:rPr>
                <w:rFonts w:cs="Arial"/>
                <w:u w:val="single"/>
              </w:rPr>
            </w:pPr>
          </w:p>
        </w:tc>
        <w:tc>
          <w:tcPr>
            <w:tcW w:w="7371" w:type="dxa"/>
          </w:tcPr>
          <w:p w14:paraId="708E90AD" w14:textId="77777777" w:rsidR="00FC7A3E" w:rsidRPr="00ED4F89" w:rsidRDefault="00FC7A3E" w:rsidP="00DA0A41">
            <w:pPr>
              <w:jc w:val="both"/>
              <w:rPr>
                <w:rFonts w:cs="Arial"/>
              </w:rPr>
            </w:pPr>
            <w:r w:rsidRPr="00ED4F89">
              <w:rPr>
                <w:rFonts w:cs="Arial"/>
              </w:rPr>
              <w:t xml:space="preserve">Other associated paraphernalia </w:t>
            </w:r>
          </w:p>
          <w:p w14:paraId="2851388E" w14:textId="4174F4E5" w:rsidR="00FC7A3E" w:rsidRPr="00ED4F89" w:rsidRDefault="00FC7A3E" w:rsidP="00DA0A41">
            <w:pPr>
              <w:jc w:val="both"/>
              <w:rPr>
                <w:rFonts w:cs="Arial"/>
              </w:rPr>
            </w:pPr>
            <w:r w:rsidRPr="00ED4F89">
              <w:rPr>
                <w:rFonts w:cs="Arial"/>
              </w:rPr>
              <w:t>Matters such as foul and rainwater goods, gas meters and aerials etc</w:t>
            </w:r>
          </w:p>
          <w:p w14:paraId="4EF3753A" w14:textId="77777777" w:rsidR="00FC7A3E" w:rsidRPr="00ED4F89" w:rsidRDefault="00FC7A3E" w:rsidP="00DA0A41">
            <w:pPr>
              <w:jc w:val="both"/>
              <w:rPr>
                <w:rFonts w:cs="Arial"/>
              </w:rPr>
            </w:pPr>
          </w:p>
        </w:tc>
      </w:tr>
      <w:tr w:rsidR="00ED4F89" w:rsidRPr="00ED4F89" w14:paraId="0EED320C" w14:textId="77777777" w:rsidTr="00DA1624">
        <w:tc>
          <w:tcPr>
            <w:tcW w:w="1985" w:type="dxa"/>
          </w:tcPr>
          <w:p w14:paraId="2D903295" w14:textId="74330CB0" w:rsidR="00FC7A3E" w:rsidRPr="00ED4F89" w:rsidRDefault="00FC7A3E" w:rsidP="00DA0A41">
            <w:pPr>
              <w:jc w:val="both"/>
              <w:rPr>
                <w:rFonts w:cs="Arial"/>
                <w:b/>
                <w:bCs/>
              </w:rPr>
            </w:pPr>
            <w:r w:rsidRPr="00ED4F89">
              <w:rPr>
                <w:rFonts w:cs="Arial"/>
                <w:b/>
                <w:bCs/>
              </w:rPr>
              <w:t xml:space="preserve">Principle </w:t>
            </w:r>
            <w:r w:rsidR="00BD0696" w:rsidRPr="00ED4F89">
              <w:rPr>
                <w:rFonts w:cs="Arial"/>
                <w:b/>
                <w:bCs/>
              </w:rPr>
              <w:t>O</w:t>
            </w:r>
          </w:p>
        </w:tc>
        <w:tc>
          <w:tcPr>
            <w:tcW w:w="7371" w:type="dxa"/>
          </w:tcPr>
          <w:p w14:paraId="0FF13774" w14:textId="77777777" w:rsidR="00FC7A3E" w:rsidRPr="00ED4F89" w:rsidRDefault="00FC7A3E" w:rsidP="00DA0A41">
            <w:pPr>
              <w:jc w:val="both"/>
              <w:rPr>
                <w:rFonts w:cs="Arial"/>
              </w:rPr>
            </w:pPr>
            <w:r w:rsidRPr="00ED4F89">
              <w:rPr>
                <w:rFonts w:cs="Arial"/>
              </w:rPr>
              <w:t>Internal layout</w:t>
            </w:r>
          </w:p>
          <w:p w14:paraId="33E90EE5" w14:textId="77777777" w:rsidR="00FC7A3E" w:rsidRPr="00ED4F89" w:rsidRDefault="00FC7A3E" w:rsidP="00DA0A41">
            <w:pPr>
              <w:jc w:val="both"/>
              <w:rPr>
                <w:rFonts w:cs="Arial"/>
              </w:rPr>
            </w:pPr>
          </w:p>
        </w:tc>
      </w:tr>
      <w:tr w:rsidR="00ED4F89" w:rsidRPr="00ED4F89" w14:paraId="7C885C6D" w14:textId="77777777" w:rsidTr="00DA1624">
        <w:tc>
          <w:tcPr>
            <w:tcW w:w="1985" w:type="dxa"/>
          </w:tcPr>
          <w:p w14:paraId="3CA5BB72" w14:textId="657AC07C" w:rsidR="00FC7A3E" w:rsidRPr="00ED4F89" w:rsidRDefault="00FC7A3E" w:rsidP="00DA0A41">
            <w:pPr>
              <w:jc w:val="both"/>
              <w:rPr>
                <w:rFonts w:cs="Arial"/>
                <w:b/>
                <w:bCs/>
              </w:rPr>
            </w:pPr>
            <w:r w:rsidRPr="00ED4F89">
              <w:rPr>
                <w:rFonts w:cs="Arial"/>
                <w:b/>
                <w:bCs/>
              </w:rPr>
              <w:t xml:space="preserve">Principle </w:t>
            </w:r>
            <w:r w:rsidR="00BD0696" w:rsidRPr="00ED4F89">
              <w:rPr>
                <w:rFonts w:cs="Arial"/>
                <w:b/>
                <w:bCs/>
              </w:rPr>
              <w:t>P</w:t>
            </w:r>
          </w:p>
        </w:tc>
        <w:tc>
          <w:tcPr>
            <w:tcW w:w="7371" w:type="dxa"/>
          </w:tcPr>
          <w:p w14:paraId="3D14CA06" w14:textId="3EE3C12C" w:rsidR="00FC7A3E" w:rsidRPr="00ED4F89" w:rsidRDefault="00FC7A3E" w:rsidP="00DA0A41">
            <w:pPr>
              <w:jc w:val="both"/>
              <w:rPr>
                <w:rFonts w:cs="Arial"/>
                <w:b/>
                <w:bCs/>
              </w:rPr>
            </w:pPr>
            <w:r w:rsidRPr="00ED4F89">
              <w:rPr>
                <w:rFonts w:cs="Arial"/>
              </w:rPr>
              <w:t>Climate change</w:t>
            </w:r>
          </w:p>
          <w:p w14:paraId="61971834" w14:textId="77777777" w:rsidR="00FC7A3E" w:rsidRPr="00ED4F89" w:rsidRDefault="00FC7A3E" w:rsidP="00DA0A41">
            <w:pPr>
              <w:jc w:val="both"/>
              <w:rPr>
                <w:rFonts w:cs="Arial"/>
              </w:rPr>
            </w:pPr>
          </w:p>
        </w:tc>
      </w:tr>
    </w:tbl>
    <w:p w14:paraId="70771883" w14:textId="23F43AD9" w:rsidR="00762556" w:rsidRPr="00ED4F89" w:rsidRDefault="00762556" w:rsidP="0022455D">
      <w:pPr>
        <w:pStyle w:val="Infotext"/>
        <w:spacing w:before="240"/>
        <w:rPr>
          <w:rFonts w:cs="Arial"/>
          <w:sz w:val="24"/>
          <w:szCs w:val="22"/>
        </w:rPr>
      </w:pPr>
    </w:p>
    <w:sectPr w:rsidR="00762556" w:rsidRPr="00ED4F89"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DE55" w14:textId="77777777" w:rsidR="00D90583" w:rsidRDefault="00D90583">
      <w:r>
        <w:separator/>
      </w:r>
    </w:p>
  </w:endnote>
  <w:endnote w:type="continuationSeparator" w:id="0">
    <w:p w14:paraId="3B0D7B10" w14:textId="77777777" w:rsidR="00D90583" w:rsidRDefault="00D9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D12D" w14:textId="77777777" w:rsidR="00D90583" w:rsidRDefault="00D90583">
      <w:r>
        <w:separator/>
      </w:r>
    </w:p>
  </w:footnote>
  <w:footnote w:type="continuationSeparator" w:id="0">
    <w:p w14:paraId="204535F0" w14:textId="77777777" w:rsidR="00D90583" w:rsidRDefault="00D90583">
      <w:r>
        <w:continuationSeparator/>
      </w:r>
    </w:p>
  </w:footnote>
  <w:footnote w:id="1">
    <w:p w14:paraId="4461BBFA" w14:textId="77777777" w:rsidR="00336C8B" w:rsidRDefault="00336C8B" w:rsidP="00336C8B">
      <w:pPr>
        <w:pStyle w:val="FootnoteText"/>
        <w:rPr>
          <w:rFonts w:asciiTheme="minorHAnsi" w:hAnsiTheme="minorHAnsi" w:cstheme="minorBidi"/>
        </w:rPr>
      </w:pPr>
      <w:r w:rsidRPr="00CA784C">
        <w:rPr>
          <w:rStyle w:val="FootnoteReference"/>
          <w:rFonts w:ascii="Arial" w:hAnsi="Arial" w:cs="Arial"/>
        </w:rPr>
        <w:footnoteRef/>
      </w:r>
      <w:r w:rsidRPr="00CA784C">
        <w:rPr>
          <w:rFonts w:ascii="Arial" w:hAnsi="Arial" w:cs="Arial"/>
        </w:rPr>
        <w:t xml:space="preserve"> See Cabinet meeting 24 May 2022, item 5</w:t>
      </w:r>
      <w:r>
        <w:t xml:space="preserve"> (</w:t>
      </w:r>
      <w:hyperlink r:id="rId1" w:history="1">
        <w:r>
          <w:rPr>
            <w:rStyle w:val="Hyperlink"/>
          </w:rPr>
          <w:t>https://moderngov.harrow.gov.uk/documents/s176909/Cabinet%20Report%20-%20May%202022%20-%20Tall%20Buildings%20and%20Conversions%20-%20FINAL%20V2%20-%20220517.pdf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99"/>
    <w:multiLevelType w:val="multilevel"/>
    <w:tmpl w:val="9FC4BE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FF973D6"/>
    <w:multiLevelType w:val="hybridMultilevel"/>
    <w:tmpl w:val="775EB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A36923"/>
    <w:multiLevelType w:val="hybridMultilevel"/>
    <w:tmpl w:val="83D03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E633FF"/>
    <w:multiLevelType w:val="hybridMultilevel"/>
    <w:tmpl w:val="E8D82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7B087E"/>
    <w:multiLevelType w:val="hybridMultilevel"/>
    <w:tmpl w:val="1062D5FE"/>
    <w:lvl w:ilvl="0" w:tplc="08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5E16FE8"/>
    <w:multiLevelType w:val="multilevel"/>
    <w:tmpl w:val="37DA2FE0"/>
    <w:lvl w:ilvl="0">
      <w:start w:val="1"/>
      <w:numFmt w:val="decimal"/>
      <w:lvlText w:val="%1."/>
      <w:lvlJc w:val="left"/>
      <w:pPr>
        <w:ind w:left="720" w:hanging="360"/>
      </w:pPr>
      <w:rPr>
        <w:rFonts w:ascii="Calibri" w:hAnsi="Calibri" w:cs="Calibri" w:hint="default"/>
        <w:u w:val="single"/>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279D6281"/>
    <w:multiLevelType w:val="hybridMultilevel"/>
    <w:tmpl w:val="9B7C4E3A"/>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8853079"/>
    <w:multiLevelType w:val="hybridMultilevel"/>
    <w:tmpl w:val="9A82E1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E65886"/>
    <w:multiLevelType w:val="hybridMultilevel"/>
    <w:tmpl w:val="B5A27DA6"/>
    <w:lvl w:ilvl="0" w:tplc="DFF2FFA2">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1C3725"/>
    <w:multiLevelType w:val="hybridMultilevel"/>
    <w:tmpl w:val="337ED894"/>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03A22DD"/>
    <w:multiLevelType w:val="hybridMultilevel"/>
    <w:tmpl w:val="701C5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EC927D3"/>
    <w:multiLevelType w:val="hybridMultilevel"/>
    <w:tmpl w:val="2A7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50C11"/>
    <w:multiLevelType w:val="hybridMultilevel"/>
    <w:tmpl w:val="46E88AF4"/>
    <w:lvl w:ilvl="0" w:tplc="08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3E81FA1"/>
    <w:multiLevelType w:val="hybridMultilevel"/>
    <w:tmpl w:val="17020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41C7AB3"/>
    <w:multiLevelType w:val="hybridMultilevel"/>
    <w:tmpl w:val="190C4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1C2D29"/>
    <w:multiLevelType w:val="hybridMultilevel"/>
    <w:tmpl w:val="972E2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2A30B0"/>
    <w:multiLevelType w:val="hybridMultilevel"/>
    <w:tmpl w:val="0CDA4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A42C6B"/>
    <w:multiLevelType w:val="multilevel"/>
    <w:tmpl w:val="2CA8AED4"/>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243422"/>
    <w:multiLevelType w:val="hybridMultilevel"/>
    <w:tmpl w:val="E76812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BC2F92"/>
    <w:multiLevelType w:val="hybridMultilevel"/>
    <w:tmpl w:val="53AC3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8C4111"/>
    <w:multiLevelType w:val="hybridMultilevel"/>
    <w:tmpl w:val="7B2A9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8740E6"/>
    <w:multiLevelType w:val="multilevel"/>
    <w:tmpl w:val="DF3CAE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CAB3708"/>
    <w:multiLevelType w:val="hybridMultilevel"/>
    <w:tmpl w:val="C6BA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62119"/>
    <w:multiLevelType w:val="hybridMultilevel"/>
    <w:tmpl w:val="D80A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966FA"/>
    <w:multiLevelType w:val="hybridMultilevel"/>
    <w:tmpl w:val="96826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887657"/>
    <w:multiLevelType w:val="hybridMultilevel"/>
    <w:tmpl w:val="5F466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3"/>
  </w:num>
  <w:num w:numId="3">
    <w:abstractNumId w:val="12"/>
  </w:num>
  <w:num w:numId="4">
    <w:abstractNumId w:val="25"/>
  </w:num>
  <w:num w:numId="5">
    <w:abstractNumId w:val="26"/>
  </w:num>
  <w:num w:numId="6">
    <w:abstractNumId w:val="19"/>
  </w:num>
  <w:num w:numId="7">
    <w:abstractNumId w:val="7"/>
  </w:num>
  <w:num w:numId="8">
    <w:abstractNumId w:val="3"/>
  </w:num>
  <w:num w:numId="9">
    <w:abstractNumId w:val="17"/>
  </w:num>
  <w:num w:numId="10">
    <w:abstractNumId w:val="2"/>
  </w:num>
  <w:num w:numId="11">
    <w:abstractNumId w:val="16"/>
  </w:num>
  <w:num w:numId="12">
    <w:abstractNumId w:val="15"/>
  </w:num>
  <w:num w:numId="13">
    <w:abstractNumId w:val="20"/>
  </w:num>
  <w:num w:numId="14">
    <w:abstractNumId w:val="21"/>
  </w:num>
  <w:num w:numId="15">
    <w:abstractNumId w:val="14"/>
  </w:num>
  <w:num w:numId="16">
    <w:abstractNumId w:val="18"/>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
  </w:num>
  <w:num w:numId="23">
    <w:abstractNumId w:val="9"/>
  </w:num>
  <w:num w:numId="24">
    <w:abstractNumId w:val="10"/>
  </w:num>
  <w:num w:numId="25">
    <w:abstractNumId w:val="4"/>
  </w:num>
  <w:num w:numId="26">
    <w:abstractNumId w:val="6"/>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0220"/>
    <w:rsid w:val="00000894"/>
    <w:rsid w:val="00000ADF"/>
    <w:rsid w:val="0000243B"/>
    <w:rsid w:val="000025F7"/>
    <w:rsid w:val="000029FE"/>
    <w:rsid w:val="0001136C"/>
    <w:rsid w:val="00012D45"/>
    <w:rsid w:val="00012DD0"/>
    <w:rsid w:val="000164D1"/>
    <w:rsid w:val="0001673F"/>
    <w:rsid w:val="000168D3"/>
    <w:rsid w:val="00016FBE"/>
    <w:rsid w:val="0002336B"/>
    <w:rsid w:val="000249D0"/>
    <w:rsid w:val="00026E61"/>
    <w:rsid w:val="000352CE"/>
    <w:rsid w:val="00036698"/>
    <w:rsid w:val="00050872"/>
    <w:rsid w:val="00053F43"/>
    <w:rsid w:val="00054DBF"/>
    <w:rsid w:val="0006037D"/>
    <w:rsid w:val="000606B4"/>
    <w:rsid w:val="00062D1E"/>
    <w:rsid w:val="00063133"/>
    <w:rsid w:val="000633A0"/>
    <w:rsid w:val="00066758"/>
    <w:rsid w:val="00067A2F"/>
    <w:rsid w:val="00070082"/>
    <w:rsid w:val="00071503"/>
    <w:rsid w:val="00075AEA"/>
    <w:rsid w:val="00075E03"/>
    <w:rsid w:val="0008215B"/>
    <w:rsid w:val="0008249F"/>
    <w:rsid w:val="00086D2A"/>
    <w:rsid w:val="00091CF9"/>
    <w:rsid w:val="00092024"/>
    <w:rsid w:val="00094E4A"/>
    <w:rsid w:val="00096D59"/>
    <w:rsid w:val="000A2241"/>
    <w:rsid w:val="000A32B9"/>
    <w:rsid w:val="000A3C85"/>
    <w:rsid w:val="000A43A7"/>
    <w:rsid w:val="000A483F"/>
    <w:rsid w:val="000A6245"/>
    <w:rsid w:val="000B0139"/>
    <w:rsid w:val="000B09FE"/>
    <w:rsid w:val="000B1114"/>
    <w:rsid w:val="000B32CA"/>
    <w:rsid w:val="000C0EE2"/>
    <w:rsid w:val="000C13D6"/>
    <w:rsid w:val="000C2177"/>
    <w:rsid w:val="000C31CE"/>
    <w:rsid w:val="000C5D3B"/>
    <w:rsid w:val="000C5EBE"/>
    <w:rsid w:val="000D10CE"/>
    <w:rsid w:val="000D208B"/>
    <w:rsid w:val="000D5D8B"/>
    <w:rsid w:val="000E1217"/>
    <w:rsid w:val="000E1899"/>
    <w:rsid w:val="000E29A0"/>
    <w:rsid w:val="000E668D"/>
    <w:rsid w:val="000E7013"/>
    <w:rsid w:val="000E7443"/>
    <w:rsid w:val="000F581B"/>
    <w:rsid w:val="000F665E"/>
    <w:rsid w:val="00100D96"/>
    <w:rsid w:val="001022EA"/>
    <w:rsid w:val="00103EDA"/>
    <w:rsid w:val="00106ABF"/>
    <w:rsid w:val="00107EA8"/>
    <w:rsid w:val="00110847"/>
    <w:rsid w:val="00110E82"/>
    <w:rsid w:val="00112083"/>
    <w:rsid w:val="00113A73"/>
    <w:rsid w:val="00114AF0"/>
    <w:rsid w:val="00115952"/>
    <w:rsid w:val="001202CF"/>
    <w:rsid w:val="00123A4E"/>
    <w:rsid w:val="0012637C"/>
    <w:rsid w:val="001277F8"/>
    <w:rsid w:val="0013621D"/>
    <w:rsid w:val="0013775D"/>
    <w:rsid w:val="00142B84"/>
    <w:rsid w:val="00143091"/>
    <w:rsid w:val="001455E7"/>
    <w:rsid w:val="00145BD5"/>
    <w:rsid w:val="001466A9"/>
    <w:rsid w:val="00150061"/>
    <w:rsid w:val="00150687"/>
    <w:rsid w:val="001535AB"/>
    <w:rsid w:val="00153FA0"/>
    <w:rsid w:val="001543E4"/>
    <w:rsid w:val="00154F8A"/>
    <w:rsid w:val="001603DD"/>
    <w:rsid w:val="00167ACC"/>
    <w:rsid w:val="00173260"/>
    <w:rsid w:val="001743C9"/>
    <w:rsid w:val="001774A3"/>
    <w:rsid w:val="00177CBE"/>
    <w:rsid w:val="0018168E"/>
    <w:rsid w:val="001822C3"/>
    <w:rsid w:val="001824E8"/>
    <w:rsid w:val="00184D44"/>
    <w:rsid w:val="00191840"/>
    <w:rsid w:val="00194EE0"/>
    <w:rsid w:val="00195FC4"/>
    <w:rsid w:val="0019652D"/>
    <w:rsid w:val="001A3E62"/>
    <w:rsid w:val="001A45F3"/>
    <w:rsid w:val="001A4C6D"/>
    <w:rsid w:val="001B16EA"/>
    <w:rsid w:val="001B35AE"/>
    <w:rsid w:val="001B42D8"/>
    <w:rsid w:val="001B7D8A"/>
    <w:rsid w:val="001C0093"/>
    <w:rsid w:val="001C0F52"/>
    <w:rsid w:val="001C1838"/>
    <w:rsid w:val="001C2940"/>
    <w:rsid w:val="001D17AB"/>
    <w:rsid w:val="001D1F6F"/>
    <w:rsid w:val="001D53E2"/>
    <w:rsid w:val="001E262A"/>
    <w:rsid w:val="001E282E"/>
    <w:rsid w:val="001E34F9"/>
    <w:rsid w:val="001E4CD4"/>
    <w:rsid w:val="001E61E6"/>
    <w:rsid w:val="001E69AB"/>
    <w:rsid w:val="001F0620"/>
    <w:rsid w:val="001F21F4"/>
    <w:rsid w:val="001F26C4"/>
    <w:rsid w:val="001F31D6"/>
    <w:rsid w:val="001F4D2F"/>
    <w:rsid w:val="001F5206"/>
    <w:rsid w:val="001F6561"/>
    <w:rsid w:val="002034B3"/>
    <w:rsid w:val="0020509D"/>
    <w:rsid w:val="00207DA4"/>
    <w:rsid w:val="00212EAC"/>
    <w:rsid w:val="00216168"/>
    <w:rsid w:val="00216A3E"/>
    <w:rsid w:val="0021760C"/>
    <w:rsid w:val="00223A6B"/>
    <w:rsid w:val="00223B2F"/>
    <w:rsid w:val="0022455D"/>
    <w:rsid w:val="002253B2"/>
    <w:rsid w:val="00230570"/>
    <w:rsid w:val="002330DE"/>
    <w:rsid w:val="00233550"/>
    <w:rsid w:val="0024071A"/>
    <w:rsid w:val="0024081C"/>
    <w:rsid w:val="00251C7F"/>
    <w:rsid w:val="0025251A"/>
    <w:rsid w:val="0025320D"/>
    <w:rsid w:val="002551D8"/>
    <w:rsid w:val="002552A4"/>
    <w:rsid w:val="00256606"/>
    <w:rsid w:val="00256AD4"/>
    <w:rsid w:val="00261063"/>
    <w:rsid w:val="00263F78"/>
    <w:rsid w:val="00266321"/>
    <w:rsid w:val="0027373D"/>
    <w:rsid w:val="00275B00"/>
    <w:rsid w:val="0027690D"/>
    <w:rsid w:val="00281ADC"/>
    <w:rsid w:val="00282066"/>
    <w:rsid w:val="00283543"/>
    <w:rsid w:val="00284269"/>
    <w:rsid w:val="0028692E"/>
    <w:rsid w:val="0028779D"/>
    <w:rsid w:val="00292647"/>
    <w:rsid w:val="00295A60"/>
    <w:rsid w:val="00296087"/>
    <w:rsid w:val="00296C62"/>
    <w:rsid w:val="00297FFD"/>
    <w:rsid w:val="002A1B06"/>
    <w:rsid w:val="002A21BD"/>
    <w:rsid w:val="002A3F0F"/>
    <w:rsid w:val="002A6251"/>
    <w:rsid w:val="002A6EF5"/>
    <w:rsid w:val="002B17AD"/>
    <w:rsid w:val="002B2795"/>
    <w:rsid w:val="002B425C"/>
    <w:rsid w:val="002B7D68"/>
    <w:rsid w:val="002C0F0E"/>
    <w:rsid w:val="002C1A11"/>
    <w:rsid w:val="002C3805"/>
    <w:rsid w:val="002C5EC3"/>
    <w:rsid w:val="002C7C8C"/>
    <w:rsid w:val="002D0A58"/>
    <w:rsid w:val="002D1458"/>
    <w:rsid w:val="002D45D5"/>
    <w:rsid w:val="002D7132"/>
    <w:rsid w:val="002D7AD9"/>
    <w:rsid w:val="002D7BE3"/>
    <w:rsid w:val="002E0955"/>
    <w:rsid w:val="002E4C2E"/>
    <w:rsid w:val="002E774A"/>
    <w:rsid w:val="002F0225"/>
    <w:rsid w:val="002F0364"/>
    <w:rsid w:val="002F3787"/>
    <w:rsid w:val="002F3E94"/>
    <w:rsid w:val="002F5D8E"/>
    <w:rsid w:val="00300343"/>
    <w:rsid w:val="003009E7"/>
    <w:rsid w:val="0030304B"/>
    <w:rsid w:val="00304C87"/>
    <w:rsid w:val="00312B68"/>
    <w:rsid w:val="00313F3C"/>
    <w:rsid w:val="00315416"/>
    <w:rsid w:val="00320DA8"/>
    <w:rsid w:val="00322730"/>
    <w:rsid w:val="00323250"/>
    <w:rsid w:val="00325215"/>
    <w:rsid w:val="00325384"/>
    <w:rsid w:val="003276F0"/>
    <w:rsid w:val="00330090"/>
    <w:rsid w:val="003304DA"/>
    <w:rsid w:val="00333079"/>
    <w:rsid w:val="00333C24"/>
    <w:rsid w:val="00336BCB"/>
    <w:rsid w:val="00336C8B"/>
    <w:rsid w:val="0034297B"/>
    <w:rsid w:val="0034748A"/>
    <w:rsid w:val="00350D6C"/>
    <w:rsid w:val="00352500"/>
    <w:rsid w:val="00356159"/>
    <w:rsid w:val="00360E63"/>
    <w:rsid w:val="003635FF"/>
    <w:rsid w:val="00366743"/>
    <w:rsid w:val="003721C8"/>
    <w:rsid w:val="00372443"/>
    <w:rsid w:val="003738CB"/>
    <w:rsid w:val="0037724D"/>
    <w:rsid w:val="00377263"/>
    <w:rsid w:val="00380036"/>
    <w:rsid w:val="00385105"/>
    <w:rsid w:val="00385B4E"/>
    <w:rsid w:val="00386C65"/>
    <w:rsid w:val="003874B1"/>
    <w:rsid w:val="00392B20"/>
    <w:rsid w:val="00392B6B"/>
    <w:rsid w:val="0039332A"/>
    <w:rsid w:val="003954E3"/>
    <w:rsid w:val="00395991"/>
    <w:rsid w:val="00397731"/>
    <w:rsid w:val="00397983"/>
    <w:rsid w:val="003A088A"/>
    <w:rsid w:val="003A0989"/>
    <w:rsid w:val="003A0A2D"/>
    <w:rsid w:val="003A1F94"/>
    <w:rsid w:val="003A2CB0"/>
    <w:rsid w:val="003A4528"/>
    <w:rsid w:val="003A559A"/>
    <w:rsid w:val="003A783B"/>
    <w:rsid w:val="003B3D17"/>
    <w:rsid w:val="003B5424"/>
    <w:rsid w:val="003B68AE"/>
    <w:rsid w:val="003B6FCA"/>
    <w:rsid w:val="003B7552"/>
    <w:rsid w:val="003C10FA"/>
    <w:rsid w:val="003C2C2F"/>
    <w:rsid w:val="003C3B19"/>
    <w:rsid w:val="003C4185"/>
    <w:rsid w:val="003C723A"/>
    <w:rsid w:val="003D2434"/>
    <w:rsid w:val="003D2DF1"/>
    <w:rsid w:val="003D31C2"/>
    <w:rsid w:val="003D36FE"/>
    <w:rsid w:val="003D43A0"/>
    <w:rsid w:val="003D615B"/>
    <w:rsid w:val="003D78F6"/>
    <w:rsid w:val="003E0849"/>
    <w:rsid w:val="003E32FA"/>
    <w:rsid w:val="003E3867"/>
    <w:rsid w:val="003E3A74"/>
    <w:rsid w:val="003E6598"/>
    <w:rsid w:val="003F4A5F"/>
    <w:rsid w:val="003F5AE2"/>
    <w:rsid w:val="00402E49"/>
    <w:rsid w:val="00403898"/>
    <w:rsid w:val="004046A2"/>
    <w:rsid w:val="00404AD6"/>
    <w:rsid w:val="00406FE4"/>
    <w:rsid w:val="00410C2B"/>
    <w:rsid w:val="00412D87"/>
    <w:rsid w:val="004138E3"/>
    <w:rsid w:val="004166BF"/>
    <w:rsid w:val="0042196C"/>
    <w:rsid w:val="004222FF"/>
    <w:rsid w:val="004235C9"/>
    <w:rsid w:val="004270EB"/>
    <w:rsid w:val="0042781C"/>
    <w:rsid w:val="00430476"/>
    <w:rsid w:val="00431463"/>
    <w:rsid w:val="00432050"/>
    <w:rsid w:val="0043391E"/>
    <w:rsid w:val="00441A2B"/>
    <w:rsid w:val="00444108"/>
    <w:rsid w:val="0044548D"/>
    <w:rsid w:val="0044556C"/>
    <w:rsid w:val="00445F90"/>
    <w:rsid w:val="00447899"/>
    <w:rsid w:val="00450EE7"/>
    <w:rsid w:val="00451F68"/>
    <w:rsid w:val="00452153"/>
    <w:rsid w:val="00453F70"/>
    <w:rsid w:val="004547CA"/>
    <w:rsid w:val="00454E88"/>
    <w:rsid w:val="00455485"/>
    <w:rsid w:val="00455564"/>
    <w:rsid w:val="0045592D"/>
    <w:rsid w:val="00460297"/>
    <w:rsid w:val="00462114"/>
    <w:rsid w:val="00464390"/>
    <w:rsid w:val="004647D7"/>
    <w:rsid w:val="0046728D"/>
    <w:rsid w:val="0047007E"/>
    <w:rsid w:val="00471BAC"/>
    <w:rsid w:val="00473079"/>
    <w:rsid w:val="0047582F"/>
    <w:rsid w:val="00480229"/>
    <w:rsid w:val="00480CF3"/>
    <w:rsid w:val="00481014"/>
    <w:rsid w:val="00481A7A"/>
    <w:rsid w:val="00482982"/>
    <w:rsid w:val="00486170"/>
    <w:rsid w:val="00486544"/>
    <w:rsid w:val="004906E8"/>
    <w:rsid w:val="0049070E"/>
    <w:rsid w:val="00490D5B"/>
    <w:rsid w:val="00491D25"/>
    <w:rsid w:val="0049216A"/>
    <w:rsid w:val="00492D1F"/>
    <w:rsid w:val="00495805"/>
    <w:rsid w:val="00497971"/>
    <w:rsid w:val="004A2CFB"/>
    <w:rsid w:val="004A37F9"/>
    <w:rsid w:val="004A5635"/>
    <w:rsid w:val="004A7964"/>
    <w:rsid w:val="004B02F3"/>
    <w:rsid w:val="004B4BE3"/>
    <w:rsid w:val="004C3182"/>
    <w:rsid w:val="004C31D3"/>
    <w:rsid w:val="004C40D1"/>
    <w:rsid w:val="004C42BD"/>
    <w:rsid w:val="004C5899"/>
    <w:rsid w:val="004C5FE9"/>
    <w:rsid w:val="004D0DBD"/>
    <w:rsid w:val="004D3A8E"/>
    <w:rsid w:val="004D488D"/>
    <w:rsid w:val="004D4D49"/>
    <w:rsid w:val="004D5487"/>
    <w:rsid w:val="004D6572"/>
    <w:rsid w:val="004D6D56"/>
    <w:rsid w:val="004D744C"/>
    <w:rsid w:val="004E23FF"/>
    <w:rsid w:val="004E4261"/>
    <w:rsid w:val="004E55B4"/>
    <w:rsid w:val="004E7169"/>
    <w:rsid w:val="004E7829"/>
    <w:rsid w:val="004F148C"/>
    <w:rsid w:val="004F2CE9"/>
    <w:rsid w:val="004F4D83"/>
    <w:rsid w:val="004F51ED"/>
    <w:rsid w:val="004F7830"/>
    <w:rsid w:val="00500245"/>
    <w:rsid w:val="00502DD3"/>
    <w:rsid w:val="00504639"/>
    <w:rsid w:val="0050500F"/>
    <w:rsid w:val="0050628D"/>
    <w:rsid w:val="00507B7A"/>
    <w:rsid w:val="00513A9D"/>
    <w:rsid w:val="00514698"/>
    <w:rsid w:val="00517805"/>
    <w:rsid w:val="005200DF"/>
    <w:rsid w:val="0052068D"/>
    <w:rsid w:val="005235C6"/>
    <w:rsid w:val="00525608"/>
    <w:rsid w:val="00526150"/>
    <w:rsid w:val="00527689"/>
    <w:rsid w:val="00527D8C"/>
    <w:rsid w:val="0053060F"/>
    <w:rsid w:val="00531B3F"/>
    <w:rsid w:val="005322C6"/>
    <w:rsid w:val="005337B2"/>
    <w:rsid w:val="00535AFC"/>
    <w:rsid w:val="005425AC"/>
    <w:rsid w:val="00542F08"/>
    <w:rsid w:val="005441BD"/>
    <w:rsid w:val="00544323"/>
    <w:rsid w:val="0054587F"/>
    <w:rsid w:val="00552668"/>
    <w:rsid w:val="00554F21"/>
    <w:rsid w:val="00557839"/>
    <w:rsid w:val="0056035B"/>
    <w:rsid w:val="005610E4"/>
    <w:rsid w:val="005625CA"/>
    <w:rsid w:val="005639D4"/>
    <w:rsid w:val="0056491D"/>
    <w:rsid w:val="00565010"/>
    <w:rsid w:val="0056779A"/>
    <w:rsid w:val="005679D3"/>
    <w:rsid w:val="00570D0A"/>
    <w:rsid w:val="00571E26"/>
    <w:rsid w:val="005721E6"/>
    <w:rsid w:val="005731B4"/>
    <w:rsid w:val="00574F6C"/>
    <w:rsid w:val="005826ED"/>
    <w:rsid w:val="005834E8"/>
    <w:rsid w:val="00583F9A"/>
    <w:rsid w:val="00586B1E"/>
    <w:rsid w:val="00587227"/>
    <w:rsid w:val="005928B5"/>
    <w:rsid w:val="005937CD"/>
    <w:rsid w:val="00593E65"/>
    <w:rsid w:val="005961BE"/>
    <w:rsid w:val="005968D6"/>
    <w:rsid w:val="00597C33"/>
    <w:rsid w:val="005A008B"/>
    <w:rsid w:val="005A083D"/>
    <w:rsid w:val="005A1C50"/>
    <w:rsid w:val="005A3691"/>
    <w:rsid w:val="005A6201"/>
    <w:rsid w:val="005A6ADF"/>
    <w:rsid w:val="005A6BE9"/>
    <w:rsid w:val="005B0D6F"/>
    <w:rsid w:val="005B15E7"/>
    <w:rsid w:val="005B254C"/>
    <w:rsid w:val="005B2F47"/>
    <w:rsid w:val="005B3339"/>
    <w:rsid w:val="005B57C4"/>
    <w:rsid w:val="005B595A"/>
    <w:rsid w:val="005B5DAC"/>
    <w:rsid w:val="005B712A"/>
    <w:rsid w:val="005C069A"/>
    <w:rsid w:val="005C1159"/>
    <w:rsid w:val="005C1860"/>
    <w:rsid w:val="005C27AC"/>
    <w:rsid w:val="005C297D"/>
    <w:rsid w:val="005C336A"/>
    <w:rsid w:val="005C49A2"/>
    <w:rsid w:val="005C5EE5"/>
    <w:rsid w:val="005C5F36"/>
    <w:rsid w:val="005D0050"/>
    <w:rsid w:val="005D0840"/>
    <w:rsid w:val="005D17D2"/>
    <w:rsid w:val="005D3C3E"/>
    <w:rsid w:val="005E0FD7"/>
    <w:rsid w:val="005E25B6"/>
    <w:rsid w:val="005E30B3"/>
    <w:rsid w:val="005E41F2"/>
    <w:rsid w:val="005E4208"/>
    <w:rsid w:val="005E48E9"/>
    <w:rsid w:val="005E4901"/>
    <w:rsid w:val="005E4C89"/>
    <w:rsid w:val="005E7C05"/>
    <w:rsid w:val="005F0189"/>
    <w:rsid w:val="005F1C91"/>
    <w:rsid w:val="005F28B1"/>
    <w:rsid w:val="005F4287"/>
    <w:rsid w:val="005F4A99"/>
    <w:rsid w:val="005F5698"/>
    <w:rsid w:val="005F6DF1"/>
    <w:rsid w:val="00602158"/>
    <w:rsid w:val="00602CE7"/>
    <w:rsid w:val="006036D2"/>
    <w:rsid w:val="00605B1D"/>
    <w:rsid w:val="0060678B"/>
    <w:rsid w:val="00607951"/>
    <w:rsid w:val="00610C3A"/>
    <w:rsid w:val="00610F23"/>
    <w:rsid w:val="0061170A"/>
    <w:rsid w:val="0061288B"/>
    <w:rsid w:val="00612A64"/>
    <w:rsid w:val="006145F0"/>
    <w:rsid w:val="00614B42"/>
    <w:rsid w:val="00617473"/>
    <w:rsid w:val="00617477"/>
    <w:rsid w:val="00617E69"/>
    <w:rsid w:val="00617F63"/>
    <w:rsid w:val="00620418"/>
    <w:rsid w:val="00620B0F"/>
    <w:rsid w:val="006218AC"/>
    <w:rsid w:val="00622DBF"/>
    <w:rsid w:val="0062558E"/>
    <w:rsid w:val="00625683"/>
    <w:rsid w:val="006258C4"/>
    <w:rsid w:val="00627016"/>
    <w:rsid w:val="0062707F"/>
    <w:rsid w:val="006327C1"/>
    <w:rsid w:val="00634E5C"/>
    <w:rsid w:val="00635D66"/>
    <w:rsid w:val="006375C5"/>
    <w:rsid w:val="00637E9B"/>
    <w:rsid w:val="006404F2"/>
    <w:rsid w:val="0064262B"/>
    <w:rsid w:val="00646078"/>
    <w:rsid w:val="00646B4F"/>
    <w:rsid w:val="00646CC2"/>
    <w:rsid w:val="006470A7"/>
    <w:rsid w:val="00647693"/>
    <w:rsid w:val="00650699"/>
    <w:rsid w:val="00653250"/>
    <w:rsid w:val="00654582"/>
    <w:rsid w:val="00656C6A"/>
    <w:rsid w:val="0065724E"/>
    <w:rsid w:val="00660E75"/>
    <w:rsid w:val="00661678"/>
    <w:rsid w:val="00665A12"/>
    <w:rsid w:val="00665C96"/>
    <w:rsid w:val="006668DA"/>
    <w:rsid w:val="006674D8"/>
    <w:rsid w:val="00674299"/>
    <w:rsid w:val="00674C63"/>
    <w:rsid w:val="00674F13"/>
    <w:rsid w:val="00675FA2"/>
    <w:rsid w:val="006802EB"/>
    <w:rsid w:val="006823D1"/>
    <w:rsid w:val="006843EC"/>
    <w:rsid w:val="006867A3"/>
    <w:rsid w:val="00687DEB"/>
    <w:rsid w:val="00691EB6"/>
    <w:rsid w:val="00693D9A"/>
    <w:rsid w:val="00697A35"/>
    <w:rsid w:val="00697B3C"/>
    <w:rsid w:val="006A028A"/>
    <w:rsid w:val="006A3D6C"/>
    <w:rsid w:val="006A6378"/>
    <w:rsid w:val="006A783A"/>
    <w:rsid w:val="006B0D3B"/>
    <w:rsid w:val="006B4963"/>
    <w:rsid w:val="006B5F35"/>
    <w:rsid w:val="006B6865"/>
    <w:rsid w:val="006C320E"/>
    <w:rsid w:val="006C378C"/>
    <w:rsid w:val="006C44D8"/>
    <w:rsid w:val="006C484D"/>
    <w:rsid w:val="006C5668"/>
    <w:rsid w:val="006C6125"/>
    <w:rsid w:val="006D0B27"/>
    <w:rsid w:val="006D4137"/>
    <w:rsid w:val="006E2844"/>
    <w:rsid w:val="006E2D02"/>
    <w:rsid w:val="006E4962"/>
    <w:rsid w:val="006E63D1"/>
    <w:rsid w:val="006E692F"/>
    <w:rsid w:val="006E7223"/>
    <w:rsid w:val="006F025F"/>
    <w:rsid w:val="006F04AF"/>
    <w:rsid w:val="006F3A21"/>
    <w:rsid w:val="006F5133"/>
    <w:rsid w:val="006F6E33"/>
    <w:rsid w:val="00700B86"/>
    <w:rsid w:val="00700D3A"/>
    <w:rsid w:val="007010F3"/>
    <w:rsid w:val="00702AB7"/>
    <w:rsid w:val="007034A9"/>
    <w:rsid w:val="0070496A"/>
    <w:rsid w:val="007069DB"/>
    <w:rsid w:val="00710275"/>
    <w:rsid w:val="00711423"/>
    <w:rsid w:val="00712DF4"/>
    <w:rsid w:val="00713DA0"/>
    <w:rsid w:val="007146CD"/>
    <w:rsid w:val="00716D02"/>
    <w:rsid w:val="00720786"/>
    <w:rsid w:val="00721BE0"/>
    <w:rsid w:val="00722A31"/>
    <w:rsid w:val="007235E3"/>
    <w:rsid w:val="007250CE"/>
    <w:rsid w:val="007253F1"/>
    <w:rsid w:val="0073004D"/>
    <w:rsid w:val="00730223"/>
    <w:rsid w:val="00736604"/>
    <w:rsid w:val="007367CF"/>
    <w:rsid w:val="00740676"/>
    <w:rsid w:val="0074137A"/>
    <w:rsid w:val="00744071"/>
    <w:rsid w:val="00744A1A"/>
    <w:rsid w:val="007477C1"/>
    <w:rsid w:val="00751118"/>
    <w:rsid w:val="00752426"/>
    <w:rsid w:val="007620F2"/>
    <w:rsid w:val="00762556"/>
    <w:rsid w:val="007629AC"/>
    <w:rsid w:val="007636AB"/>
    <w:rsid w:val="00764435"/>
    <w:rsid w:val="0076484B"/>
    <w:rsid w:val="0076721D"/>
    <w:rsid w:val="0076728C"/>
    <w:rsid w:val="00771619"/>
    <w:rsid w:val="007737BE"/>
    <w:rsid w:val="00773E91"/>
    <w:rsid w:val="00774DAD"/>
    <w:rsid w:val="00776C06"/>
    <w:rsid w:val="00776C1A"/>
    <w:rsid w:val="00780EFC"/>
    <w:rsid w:val="00782CC6"/>
    <w:rsid w:val="0078372E"/>
    <w:rsid w:val="00784CE2"/>
    <w:rsid w:val="00786A83"/>
    <w:rsid w:val="00787409"/>
    <w:rsid w:val="007907FD"/>
    <w:rsid w:val="00790C41"/>
    <w:rsid w:val="00793D62"/>
    <w:rsid w:val="00797AF7"/>
    <w:rsid w:val="007A012E"/>
    <w:rsid w:val="007A0281"/>
    <w:rsid w:val="007A0F3F"/>
    <w:rsid w:val="007A216A"/>
    <w:rsid w:val="007A5FA7"/>
    <w:rsid w:val="007A70F2"/>
    <w:rsid w:val="007B0F8E"/>
    <w:rsid w:val="007B1514"/>
    <w:rsid w:val="007B1B78"/>
    <w:rsid w:val="007B3192"/>
    <w:rsid w:val="007B39FD"/>
    <w:rsid w:val="007C501D"/>
    <w:rsid w:val="007C5A80"/>
    <w:rsid w:val="007D1C52"/>
    <w:rsid w:val="007D1C96"/>
    <w:rsid w:val="007D6428"/>
    <w:rsid w:val="007D7E0B"/>
    <w:rsid w:val="007E0B46"/>
    <w:rsid w:val="007E1B6A"/>
    <w:rsid w:val="007E2085"/>
    <w:rsid w:val="007E3D6F"/>
    <w:rsid w:val="007E4022"/>
    <w:rsid w:val="007E4EEC"/>
    <w:rsid w:val="007E5604"/>
    <w:rsid w:val="007E7C7B"/>
    <w:rsid w:val="007E7FFB"/>
    <w:rsid w:val="007F06B5"/>
    <w:rsid w:val="007F07E4"/>
    <w:rsid w:val="007F112D"/>
    <w:rsid w:val="007F1AC6"/>
    <w:rsid w:val="007F46F7"/>
    <w:rsid w:val="00802295"/>
    <w:rsid w:val="0080356F"/>
    <w:rsid w:val="00805064"/>
    <w:rsid w:val="00805F9B"/>
    <w:rsid w:val="008072C2"/>
    <w:rsid w:val="00807666"/>
    <w:rsid w:val="00810CC5"/>
    <w:rsid w:val="0081262D"/>
    <w:rsid w:val="008137EC"/>
    <w:rsid w:val="00815996"/>
    <w:rsid w:val="0081762C"/>
    <w:rsid w:val="00820011"/>
    <w:rsid w:val="008237DB"/>
    <w:rsid w:val="00824527"/>
    <w:rsid w:val="00825D15"/>
    <w:rsid w:val="00834E22"/>
    <w:rsid w:val="0083717E"/>
    <w:rsid w:val="008373DB"/>
    <w:rsid w:val="00837BFD"/>
    <w:rsid w:val="00841A0F"/>
    <w:rsid w:val="00845B8D"/>
    <w:rsid w:val="0085212C"/>
    <w:rsid w:val="00852983"/>
    <w:rsid w:val="00853822"/>
    <w:rsid w:val="008545CD"/>
    <w:rsid w:val="00856972"/>
    <w:rsid w:val="00863650"/>
    <w:rsid w:val="008643B7"/>
    <w:rsid w:val="0086523A"/>
    <w:rsid w:val="00866116"/>
    <w:rsid w:val="00867435"/>
    <w:rsid w:val="00870A69"/>
    <w:rsid w:val="00870CD5"/>
    <w:rsid w:val="0087106E"/>
    <w:rsid w:val="00872499"/>
    <w:rsid w:val="008737AE"/>
    <w:rsid w:val="008750BE"/>
    <w:rsid w:val="008779ED"/>
    <w:rsid w:val="00877DED"/>
    <w:rsid w:val="00880885"/>
    <w:rsid w:val="00880DEB"/>
    <w:rsid w:val="00881951"/>
    <w:rsid w:val="00881D31"/>
    <w:rsid w:val="00881E2B"/>
    <w:rsid w:val="00885B89"/>
    <w:rsid w:val="00890FF5"/>
    <w:rsid w:val="0089273B"/>
    <w:rsid w:val="00894FDB"/>
    <w:rsid w:val="008A2555"/>
    <w:rsid w:val="008A408B"/>
    <w:rsid w:val="008A529D"/>
    <w:rsid w:val="008A63AD"/>
    <w:rsid w:val="008B7F8C"/>
    <w:rsid w:val="008C013C"/>
    <w:rsid w:val="008C172C"/>
    <w:rsid w:val="008C1AE5"/>
    <w:rsid w:val="008C30E0"/>
    <w:rsid w:val="008C51C8"/>
    <w:rsid w:val="008C787F"/>
    <w:rsid w:val="008C7EB8"/>
    <w:rsid w:val="008D0B76"/>
    <w:rsid w:val="008D12CA"/>
    <w:rsid w:val="008D4CE2"/>
    <w:rsid w:val="008D5CEA"/>
    <w:rsid w:val="008D5F92"/>
    <w:rsid w:val="008E121E"/>
    <w:rsid w:val="008E28A4"/>
    <w:rsid w:val="008E2A9C"/>
    <w:rsid w:val="008E4392"/>
    <w:rsid w:val="008E49C7"/>
    <w:rsid w:val="008F0830"/>
    <w:rsid w:val="008F1A15"/>
    <w:rsid w:val="008F5AB4"/>
    <w:rsid w:val="00901253"/>
    <w:rsid w:val="009078D9"/>
    <w:rsid w:val="00911847"/>
    <w:rsid w:val="00912B6A"/>
    <w:rsid w:val="009144EF"/>
    <w:rsid w:val="00915FD6"/>
    <w:rsid w:val="00916087"/>
    <w:rsid w:val="009172E5"/>
    <w:rsid w:val="00923687"/>
    <w:rsid w:val="009238B6"/>
    <w:rsid w:val="0092656D"/>
    <w:rsid w:val="00926CB6"/>
    <w:rsid w:val="0093155E"/>
    <w:rsid w:val="00932DCB"/>
    <w:rsid w:val="00935E9F"/>
    <w:rsid w:val="0093612C"/>
    <w:rsid w:val="009364E4"/>
    <w:rsid w:val="00940DDA"/>
    <w:rsid w:val="0094248C"/>
    <w:rsid w:val="00942C6E"/>
    <w:rsid w:val="009442BB"/>
    <w:rsid w:val="00945C9D"/>
    <w:rsid w:val="009500A3"/>
    <w:rsid w:val="0095092D"/>
    <w:rsid w:val="009535B9"/>
    <w:rsid w:val="00953767"/>
    <w:rsid w:val="00953A14"/>
    <w:rsid w:val="009542BD"/>
    <w:rsid w:val="009559B1"/>
    <w:rsid w:val="00962A76"/>
    <w:rsid w:val="00962C5B"/>
    <w:rsid w:val="0096356F"/>
    <w:rsid w:val="00963A59"/>
    <w:rsid w:val="009662B6"/>
    <w:rsid w:val="00966550"/>
    <w:rsid w:val="0096696B"/>
    <w:rsid w:val="009670A0"/>
    <w:rsid w:val="00971BE0"/>
    <w:rsid w:val="009736D1"/>
    <w:rsid w:val="0097427E"/>
    <w:rsid w:val="00975364"/>
    <w:rsid w:val="009761ED"/>
    <w:rsid w:val="009803C3"/>
    <w:rsid w:val="009807F6"/>
    <w:rsid w:val="0098184C"/>
    <w:rsid w:val="009828C4"/>
    <w:rsid w:val="00987B92"/>
    <w:rsid w:val="0099076B"/>
    <w:rsid w:val="009A11C6"/>
    <w:rsid w:val="009A1627"/>
    <w:rsid w:val="009A1723"/>
    <w:rsid w:val="009A1D3E"/>
    <w:rsid w:val="009A7022"/>
    <w:rsid w:val="009B04E0"/>
    <w:rsid w:val="009B0B65"/>
    <w:rsid w:val="009B1BD1"/>
    <w:rsid w:val="009B2781"/>
    <w:rsid w:val="009B5027"/>
    <w:rsid w:val="009C069E"/>
    <w:rsid w:val="009C3D30"/>
    <w:rsid w:val="009C4E45"/>
    <w:rsid w:val="009C54B4"/>
    <w:rsid w:val="009C7E03"/>
    <w:rsid w:val="009D2085"/>
    <w:rsid w:val="009D56DA"/>
    <w:rsid w:val="009E0DB4"/>
    <w:rsid w:val="009E12DF"/>
    <w:rsid w:val="009E29A3"/>
    <w:rsid w:val="009E2D16"/>
    <w:rsid w:val="009E424B"/>
    <w:rsid w:val="009E4AE6"/>
    <w:rsid w:val="009E502E"/>
    <w:rsid w:val="009E5550"/>
    <w:rsid w:val="009E581D"/>
    <w:rsid w:val="009F08BD"/>
    <w:rsid w:val="009F14C8"/>
    <w:rsid w:val="009F2172"/>
    <w:rsid w:val="009F43EF"/>
    <w:rsid w:val="009F646E"/>
    <w:rsid w:val="009F71DA"/>
    <w:rsid w:val="00A07546"/>
    <w:rsid w:val="00A10B14"/>
    <w:rsid w:val="00A129D9"/>
    <w:rsid w:val="00A137E7"/>
    <w:rsid w:val="00A15E02"/>
    <w:rsid w:val="00A17224"/>
    <w:rsid w:val="00A178D7"/>
    <w:rsid w:val="00A20D0A"/>
    <w:rsid w:val="00A2102D"/>
    <w:rsid w:val="00A24231"/>
    <w:rsid w:val="00A2454D"/>
    <w:rsid w:val="00A24E62"/>
    <w:rsid w:val="00A24ED5"/>
    <w:rsid w:val="00A274AC"/>
    <w:rsid w:val="00A306E4"/>
    <w:rsid w:val="00A34224"/>
    <w:rsid w:val="00A34A6F"/>
    <w:rsid w:val="00A34ED9"/>
    <w:rsid w:val="00A37FDC"/>
    <w:rsid w:val="00A406F3"/>
    <w:rsid w:val="00A42A33"/>
    <w:rsid w:val="00A45240"/>
    <w:rsid w:val="00A46841"/>
    <w:rsid w:val="00A501C7"/>
    <w:rsid w:val="00A51760"/>
    <w:rsid w:val="00A52427"/>
    <w:rsid w:val="00A53948"/>
    <w:rsid w:val="00A55E32"/>
    <w:rsid w:val="00A5613C"/>
    <w:rsid w:val="00A57929"/>
    <w:rsid w:val="00A57C34"/>
    <w:rsid w:val="00A612EE"/>
    <w:rsid w:val="00A62249"/>
    <w:rsid w:val="00A64602"/>
    <w:rsid w:val="00A66832"/>
    <w:rsid w:val="00A67575"/>
    <w:rsid w:val="00A702A3"/>
    <w:rsid w:val="00A71445"/>
    <w:rsid w:val="00A7178B"/>
    <w:rsid w:val="00A72D1B"/>
    <w:rsid w:val="00A76B24"/>
    <w:rsid w:val="00A76B33"/>
    <w:rsid w:val="00A7751B"/>
    <w:rsid w:val="00A80F10"/>
    <w:rsid w:val="00A812B5"/>
    <w:rsid w:val="00A827B5"/>
    <w:rsid w:val="00A84418"/>
    <w:rsid w:val="00A87F98"/>
    <w:rsid w:val="00A91549"/>
    <w:rsid w:val="00A94819"/>
    <w:rsid w:val="00AA010B"/>
    <w:rsid w:val="00AA3136"/>
    <w:rsid w:val="00AA5352"/>
    <w:rsid w:val="00AA63C8"/>
    <w:rsid w:val="00AA7C24"/>
    <w:rsid w:val="00AB0677"/>
    <w:rsid w:val="00AB1BC1"/>
    <w:rsid w:val="00AB28BD"/>
    <w:rsid w:val="00AB2A8D"/>
    <w:rsid w:val="00AB44AA"/>
    <w:rsid w:val="00AB6E5E"/>
    <w:rsid w:val="00AC01AD"/>
    <w:rsid w:val="00AC1BBF"/>
    <w:rsid w:val="00AC5B9C"/>
    <w:rsid w:val="00AD0E5F"/>
    <w:rsid w:val="00AD0E65"/>
    <w:rsid w:val="00AD2823"/>
    <w:rsid w:val="00AD2AE2"/>
    <w:rsid w:val="00AD3FA1"/>
    <w:rsid w:val="00AD5294"/>
    <w:rsid w:val="00AD687C"/>
    <w:rsid w:val="00AE24B9"/>
    <w:rsid w:val="00AE3FEB"/>
    <w:rsid w:val="00AE452B"/>
    <w:rsid w:val="00AF000B"/>
    <w:rsid w:val="00AF0216"/>
    <w:rsid w:val="00AF12B6"/>
    <w:rsid w:val="00AF2FA4"/>
    <w:rsid w:val="00AF6100"/>
    <w:rsid w:val="00AF718D"/>
    <w:rsid w:val="00AF72E5"/>
    <w:rsid w:val="00AF7FA9"/>
    <w:rsid w:val="00B003BA"/>
    <w:rsid w:val="00B0105E"/>
    <w:rsid w:val="00B038F4"/>
    <w:rsid w:val="00B06029"/>
    <w:rsid w:val="00B07345"/>
    <w:rsid w:val="00B1048F"/>
    <w:rsid w:val="00B13854"/>
    <w:rsid w:val="00B13A2C"/>
    <w:rsid w:val="00B1465A"/>
    <w:rsid w:val="00B1472F"/>
    <w:rsid w:val="00B20528"/>
    <w:rsid w:val="00B21131"/>
    <w:rsid w:val="00B2438B"/>
    <w:rsid w:val="00B25C6F"/>
    <w:rsid w:val="00B26D5D"/>
    <w:rsid w:val="00B372BA"/>
    <w:rsid w:val="00B3778C"/>
    <w:rsid w:val="00B402AD"/>
    <w:rsid w:val="00B40F85"/>
    <w:rsid w:val="00B4462B"/>
    <w:rsid w:val="00B44E2F"/>
    <w:rsid w:val="00B45B0F"/>
    <w:rsid w:val="00B4689B"/>
    <w:rsid w:val="00B46C50"/>
    <w:rsid w:val="00B518BA"/>
    <w:rsid w:val="00B52F9B"/>
    <w:rsid w:val="00B5352C"/>
    <w:rsid w:val="00B5672C"/>
    <w:rsid w:val="00B56820"/>
    <w:rsid w:val="00B574E2"/>
    <w:rsid w:val="00B617FB"/>
    <w:rsid w:val="00B62FCB"/>
    <w:rsid w:val="00B63605"/>
    <w:rsid w:val="00B65EB5"/>
    <w:rsid w:val="00B66D7C"/>
    <w:rsid w:val="00B705DF"/>
    <w:rsid w:val="00B73969"/>
    <w:rsid w:val="00B767CF"/>
    <w:rsid w:val="00B77100"/>
    <w:rsid w:val="00B809D0"/>
    <w:rsid w:val="00B82309"/>
    <w:rsid w:val="00B824C4"/>
    <w:rsid w:val="00B82F1C"/>
    <w:rsid w:val="00B8374D"/>
    <w:rsid w:val="00B83A76"/>
    <w:rsid w:val="00B8492D"/>
    <w:rsid w:val="00B85155"/>
    <w:rsid w:val="00B90CD3"/>
    <w:rsid w:val="00B910EC"/>
    <w:rsid w:val="00B9285F"/>
    <w:rsid w:val="00B93767"/>
    <w:rsid w:val="00B9469E"/>
    <w:rsid w:val="00B97EA9"/>
    <w:rsid w:val="00BA01A8"/>
    <w:rsid w:val="00BA2684"/>
    <w:rsid w:val="00BA4314"/>
    <w:rsid w:val="00BA78CE"/>
    <w:rsid w:val="00BB1D6B"/>
    <w:rsid w:val="00BB2389"/>
    <w:rsid w:val="00BB4B39"/>
    <w:rsid w:val="00BB55ED"/>
    <w:rsid w:val="00BB5EB3"/>
    <w:rsid w:val="00BB621C"/>
    <w:rsid w:val="00BB6AA8"/>
    <w:rsid w:val="00BB6D51"/>
    <w:rsid w:val="00BB7BA8"/>
    <w:rsid w:val="00BB7DD3"/>
    <w:rsid w:val="00BC1CC7"/>
    <w:rsid w:val="00BC24FF"/>
    <w:rsid w:val="00BC3AD4"/>
    <w:rsid w:val="00BC4139"/>
    <w:rsid w:val="00BD0696"/>
    <w:rsid w:val="00BD3B77"/>
    <w:rsid w:val="00BD4F46"/>
    <w:rsid w:val="00BD595B"/>
    <w:rsid w:val="00BE1AB7"/>
    <w:rsid w:val="00BE3203"/>
    <w:rsid w:val="00BE3FDF"/>
    <w:rsid w:val="00BE5F2A"/>
    <w:rsid w:val="00BE6002"/>
    <w:rsid w:val="00BE7349"/>
    <w:rsid w:val="00BF40D3"/>
    <w:rsid w:val="00BF460B"/>
    <w:rsid w:val="00BF618B"/>
    <w:rsid w:val="00BF7B5C"/>
    <w:rsid w:val="00BF7CF6"/>
    <w:rsid w:val="00C00A84"/>
    <w:rsid w:val="00C02E00"/>
    <w:rsid w:val="00C03343"/>
    <w:rsid w:val="00C03553"/>
    <w:rsid w:val="00C0387F"/>
    <w:rsid w:val="00C04454"/>
    <w:rsid w:val="00C049C3"/>
    <w:rsid w:val="00C05E03"/>
    <w:rsid w:val="00C06DE9"/>
    <w:rsid w:val="00C07C60"/>
    <w:rsid w:val="00C10182"/>
    <w:rsid w:val="00C115F4"/>
    <w:rsid w:val="00C11737"/>
    <w:rsid w:val="00C12681"/>
    <w:rsid w:val="00C128B9"/>
    <w:rsid w:val="00C1519B"/>
    <w:rsid w:val="00C17842"/>
    <w:rsid w:val="00C17DAE"/>
    <w:rsid w:val="00C20AE4"/>
    <w:rsid w:val="00C225BA"/>
    <w:rsid w:val="00C2433E"/>
    <w:rsid w:val="00C2523F"/>
    <w:rsid w:val="00C254B4"/>
    <w:rsid w:val="00C257D1"/>
    <w:rsid w:val="00C25A1A"/>
    <w:rsid w:val="00C26FCF"/>
    <w:rsid w:val="00C31181"/>
    <w:rsid w:val="00C316E9"/>
    <w:rsid w:val="00C33E17"/>
    <w:rsid w:val="00C37118"/>
    <w:rsid w:val="00C4117C"/>
    <w:rsid w:val="00C470EB"/>
    <w:rsid w:val="00C5067F"/>
    <w:rsid w:val="00C50B55"/>
    <w:rsid w:val="00C55590"/>
    <w:rsid w:val="00C55979"/>
    <w:rsid w:val="00C55ADA"/>
    <w:rsid w:val="00C5647E"/>
    <w:rsid w:val="00C57D8D"/>
    <w:rsid w:val="00C609E6"/>
    <w:rsid w:val="00C62042"/>
    <w:rsid w:val="00C63334"/>
    <w:rsid w:val="00C63F0B"/>
    <w:rsid w:val="00C66901"/>
    <w:rsid w:val="00C674CF"/>
    <w:rsid w:val="00C70BD2"/>
    <w:rsid w:val="00C71597"/>
    <w:rsid w:val="00C75E3D"/>
    <w:rsid w:val="00C75F0B"/>
    <w:rsid w:val="00C81576"/>
    <w:rsid w:val="00C82352"/>
    <w:rsid w:val="00C82CF1"/>
    <w:rsid w:val="00C830B8"/>
    <w:rsid w:val="00C8430E"/>
    <w:rsid w:val="00C84AD3"/>
    <w:rsid w:val="00C86B59"/>
    <w:rsid w:val="00C86E41"/>
    <w:rsid w:val="00C870FF"/>
    <w:rsid w:val="00C9088C"/>
    <w:rsid w:val="00C91AB8"/>
    <w:rsid w:val="00C928FC"/>
    <w:rsid w:val="00C96CD0"/>
    <w:rsid w:val="00C96DC8"/>
    <w:rsid w:val="00CA0A97"/>
    <w:rsid w:val="00CA261B"/>
    <w:rsid w:val="00CA27B0"/>
    <w:rsid w:val="00CA4B28"/>
    <w:rsid w:val="00CA4D3C"/>
    <w:rsid w:val="00CA5E6B"/>
    <w:rsid w:val="00CA75DE"/>
    <w:rsid w:val="00CA784C"/>
    <w:rsid w:val="00CB0071"/>
    <w:rsid w:val="00CB009B"/>
    <w:rsid w:val="00CB12B4"/>
    <w:rsid w:val="00CB6CF2"/>
    <w:rsid w:val="00CC306F"/>
    <w:rsid w:val="00CC4FDF"/>
    <w:rsid w:val="00CD16E4"/>
    <w:rsid w:val="00CD3CC4"/>
    <w:rsid w:val="00CE1FCA"/>
    <w:rsid w:val="00CE56BD"/>
    <w:rsid w:val="00CE76B5"/>
    <w:rsid w:val="00CF1F44"/>
    <w:rsid w:val="00CF2C17"/>
    <w:rsid w:val="00CF4FFE"/>
    <w:rsid w:val="00CF54AA"/>
    <w:rsid w:val="00CF71C1"/>
    <w:rsid w:val="00D019CF"/>
    <w:rsid w:val="00D02A0F"/>
    <w:rsid w:val="00D035C7"/>
    <w:rsid w:val="00D04252"/>
    <w:rsid w:val="00D06694"/>
    <w:rsid w:val="00D1016E"/>
    <w:rsid w:val="00D102BD"/>
    <w:rsid w:val="00D107B2"/>
    <w:rsid w:val="00D10B4E"/>
    <w:rsid w:val="00D11110"/>
    <w:rsid w:val="00D11F6F"/>
    <w:rsid w:val="00D14649"/>
    <w:rsid w:val="00D1570A"/>
    <w:rsid w:val="00D177BA"/>
    <w:rsid w:val="00D2022A"/>
    <w:rsid w:val="00D2108F"/>
    <w:rsid w:val="00D26380"/>
    <w:rsid w:val="00D27689"/>
    <w:rsid w:val="00D27D5B"/>
    <w:rsid w:val="00D31BB3"/>
    <w:rsid w:val="00D335DE"/>
    <w:rsid w:val="00D33AE8"/>
    <w:rsid w:val="00D36115"/>
    <w:rsid w:val="00D362F2"/>
    <w:rsid w:val="00D36CE2"/>
    <w:rsid w:val="00D43159"/>
    <w:rsid w:val="00D43BA2"/>
    <w:rsid w:val="00D45C0A"/>
    <w:rsid w:val="00D47611"/>
    <w:rsid w:val="00D50409"/>
    <w:rsid w:val="00D504AF"/>
    <w:rsid w:val="00D53628"/>
    <w:rsid w:val="00D54017"/>
    <w:rsid w:val="00D54435"/>
    <w:rsid w:val="00D55EBA"/>
    <w:rsid w:val="00D562CC"/>
    <w:rsid w:val="00D57556"/>
    <w:rsid w:val="00D612D2"/>
    <w:rsid w:val="00D63E23"/>
    <w:rsid w:val="00D640A0"/>
    <w:rsid w:val="00D64A8B"/>
    <w:rsid w:val="00D67B11"/>
    <w:rsid w:val="00D70092"/>
    <w:rsid w:val="00D712E4"/>
    <w:rsid w:val="00D71CA3"/>
    <w:rsid w:val="00D72803"/>
    <w:rsid w:val="00D763C0"/>
    <w:rsid w:val="00D76F1F"/>
    <w:rsid w:val="00D77C85"/>
    <w:rsid w:val="00D817B4"/>
    <w:rsid w:val="00D8409F"/>
    <w:rsid w:val="00D85E65"/>
    <w:rsid w:val="00D8692C"/>
    <w:rsid w:val="00D87642"/>
    <w:rsid w:val="00D87F2B"/>
    <w:rsid w:val="00D90583"/>
    <w:rsid w:val="00D90CC0"/>
    <w:rsid w:val="00D94A40"/>
    <w:rsid w:val="00DA09AA"/>
    <w:rsid w:val="00DA1624"/>
    <w:rsid w:val="00DA207C"/>
    <w:rsid w:val="00DA2E5F"/>
    <w:rsid w:val="00DA6FAE"/>
    <w:rsid w:val="00DB0536"/>
    <w:rsid w:val="00DB059D"/>
    <w:rsid w:val="00DB1490"/>
    <w:rsid w:val="00DB16C4"/>
    <w:rsid w:val="00DB1857"/>
    <w:rsid w:val="00DB1AB3"/>
    <w:rsid w:val="00DB1FE6"/>
    <w:rsid w:val="00DB3838"/>
    <w:rsid w:val="00DB45E3"/>
    <w:rsid w:val="00DB6FE6"/>
    <w:rsid w:val="00DC18D2"/>
    <w:rsid w:val="00DC5A8C"/>
    <w:rsid w:val="00DD35BD"/>
    <w:rsid w:val="00DD4EBD"/>
    <w:rsid w:val="00DE1440"/>
    <w:rsid w:val="00DE1473"/>
    <w:rsid w:val="00DE53C2"/>
    <w:rsid w:val="00DE64BE"/>
    <w:rsid w:val="00DE6CC7"/>
    <w:rsid w:val="00DF0986"/>
    <w:rsid w:val="00DF0B95"/>
    <w:rsid w:val="00DF11DA"/>
    <w:rsid w:val="00DF44A6"/>
    <w:rsid w:val="00DF4690"/>
    <w:rsid w:val="00DF4ADF"/>
    <w:rsid w:val="00DF658E"/>
    <w:rsid w:val="00E025E2"/>
    <w:rsid w:val="00E037FD"/>
    <w:rsid w:val="00E05C34"/>
    <w:rsid w:val="00E070EA"/>
    <w:rsid w:val="00E07B9C"/>
    <w:rsid w:val="00E1033F"/>
    <w:rsid w:val="00E10FD5"/>
    <w:rsid w:val="00E1342E"/>
    <w:rsid w:val="00E1465B"/>
    <w:rsid w:val="00E15162"/>
    <w:rsid w:val="00E15967"/>
    <w:rsid w:val="00E15FBB"/>
    <w:rsid w:val="00E2094E"/>
    <w:rsid w:val="00E21087"/>
    <w:rsid w:val="00E21C2E"/>
    <w:rsid w:val="00E22EAC"/>
    <w:rsid w:val="00E25A37"/>
    <w:rsid w:val="00E26C21"/>
    <w:rsid w:val="00E271F3"/>
    <w:rsid w:val="00E27CE6"/>
    <w:rsid w:val="00E30DC6"/>
    <w:rsid w:val="00E313A3"/>
    <w:rsid w:val="00E3214C"/>
    <w:rsid w:val="00E32245"/>
    <w:rsid w:val="00E375AA"/>
    <w:rsid w:val="00E376F5"/>
    <w:rsid w:val="00E37C3B"/>
    <w:rsid w:val="00E40BFD"/>
    <w:rsid w:val="00E41F17"/>
    <w:rsid w:val="00E446E9"/>
    <w:rsid w:val="00E45139"/>
    <w:rsid w:val="00E464B2"/>
    <w:rsid w:val="00E47E4E"/>
    <w:rsid w:val="00E50E9F"/>
    <w:rsid w:val="00E51CD1"/>
    <w:rsid w:val="00E543FF"/>
    <w:rsid w:val="00E548F4"/>
    <w:rsid w:val="00E54BFB"/>
    <w:rsid w:val="00E561E1"/>
    <w:rsid w:val="00E60319"/>
    <w:rsid w:val="00E60715"/>
    <w:rsid w:val="00E640C1"/>
    <w:rsid w:val="00E64CF6"/>
    <w:rsid w:val="00E65101"/>
    <w:rsid w:val="00E6691C"/>
    <w:rsid w:val="00E66A62"/>
    <w:rsid w:val="00E716C3"/>
    <w:rsid w:val="00E71D7C"/>
    <w:rsid w:val="00E71E06"/>
    <w:rsid w:val="00E71FD8"/>
    <w:rsid w:val="00E7285F"/>
    <w:rsid w:val="00E7397C"/>
    <w:rsid w:val="00E757C3"/>
    <w:rsid w:val="00E76E7F"/>
    <w:rsid w:val="00E80A1C"/>
    <w:rsid w:val="00E81A41"/>
    <w:rsid w:val="00E8408B"/>
    <w:rsid w:val="00E85932"/>
    <w:rsid w:val="00E85ECD"/>
    <w:rsid w:val="00E87093"/>
    <w:rsid w:val="00E90804"/>
    <w:rsid w:val="00E91983"/>
    <w:rsid w:val="00E95DFE"/>
    <w:rsid w:val="00E9720E"/>
    <w:rsid w:val="00EA0D05"/>
    <w:rsid w:val="00EA5CE4"/>
    <w:rsid w:val="00EA5D59"/>
    <w:rsid w:val="00EB0A59"/>
    <w:rsid w:val="00EB1B82"/>
    <w:rsid w:val="00EB28CA"/>
    <w:rsid w:val="00EB2F3C"/>
    <w:rsid w:val="00EB58A7"/>
    <w:rsid w:val="00EC0321"/>
    <w:rsid w:val="00EC270E"/>
    <w:rsid w:val="00EC3406"/>
    <w:rsid w:val="00ED0DB9"/>
    <w:rsid w:val="00ED23EA"/>
    <w:rsid w:val="00ED4295"/>
    <w:rsid w:val="00ED4F89"/>
    <w:rsid w:val="00ED583F"/>
    <w:rsid w:val="00EE1055"/>
    <w:rsid w:val="00EE1D96"/>
    <w:rsid w:val="00EE287C"/>
    <w:rsid w:val="00EE553A"/>
    <w:rsid w:val="00EE62C8"/>
    <w:rsid w:val="00EE7076"/>
    <w:rsid w:val="00EE7E92"/>
    <w:rsid w:val="00EF034A"/>
    <w:rsid w:val="00EF27B8"/>
    <w:rsid w:val="00EF32CB"/>
    <w:rsid w:val="00EF3F24"/>
    <w:rsid w:val="00F00ED1"/>
    <w:rsid w:val="00F01809"/>
    <w:rsid w:val="00F01A7A"/>
    <w:rsid w:val="00F0482A"/>
    <w:rsid w:val="00F12192"/>
    <w:rsid w:val="00F12530"/>
    <w:rsid w:val="00F129BE"/>
    <w:rsid w:val="00F15221"/>
    <w:rsid w:val="00F156AA"/>
    <w:rsid w:val="00F24219"/>
    <w:rsid w:val="00F247CF"/>
    <w:rsid w:val="00F2513C"/>
    <w:rsid w:val="00F31058"/>
    <w:rsid w:val="00F3280C"/>
    <w:rsid w:val="00F33029"/>
    <w:rsid w:val="00F34263"/>
    <w:rsid w:val="00F374A3"/>
    <w:rsid w:val="00F41C86"/>
    <w:rsid w:val="00F42266"/>
    <w:rsid w:val="00F42A10"/>
    <w:rsid w:val="00F43A09"/>
    <w:rsid w:val="00F45710"/>
    <w:rsid w:val="00F45F7B"/>
    <w:rsid w:val="00F46303"/>
    <w:rsid w:val="00F47875"/>
    <w:rsid w:val="00F50818"/>
    <w:rsid w:val="00F51336"/>
    <w:rsid w:val="00F52338"/>
    <w:rsid w:val="00F53273"/>
    <w:rsid w:val="00F53A2D"/>
    <w:rsid w:val="00F566DF"/>
    <w:rsid w:val="00F57B0C"/>
    <w:rsid w:val="00F62788"/>
    <w:rsid w:val="00F6291A"/>
    <w:rsid w:val="00F6488C"/>
    <w:rsid w:val="00F64958"/>
    <w:rsid w:val="00F65AA0"/>
    <w:rsid w:val="00F66479"/>
    <w:rsid w:val="00F664AA"/>
    <w:rsid w:val="00F66577"/>
    <w:rsid w:val="00F7307D"/>
    <w:rsid w:val="00F73781"/>
    <w:rsid w:val="00F73BD1"/>
    <w:rsid w:val="00F76A77"/>
    <w:rsid w:val="00F802A1"/>
    <w:rsid w:val="00F816C2"/>
    <w:rsid w:val="00F83244"/>
    <w:rsid w:val="00F842AA"/>
    <w:rsid w:val="00F851E4"/>
    <w:rsid w:val="00F87C4B"/>
    <w:rsid w:val="00F9041F"/>
    <w:rsid w:val="00F9251B"/>
    <w:rsid w:val="00F94F7D"/>
    <w:rsid w:val="00F950FC"/>
    <w:rsid w:val="00F96BA1"/>
    <w:rsid w:val="00F97E45"/>
    <w:rsid w:val="00FA0250"/>
    <w:rsid w:val="00FA1302"/>
    <w:rsid w:val="00FA1D0D"/>
    <w:rsid w:val="00FB0778"/>
    <w:rsid w:val="00FB75B0"/>
    <w:rsid w:val="00FC2AC3"/>
    <w:rsid w:val="00FC4B19"/>
    <w:rsid w:val="00FC6000"/>
    <w:rsid w:val="00FC6DBD"/>
    <w:rsid w:val="00FC7A3E"/>
    <w:rsid w:val="00FC7CDB"/>
    <w:rsid w:val="00FD11F4"/>
    <w:rsid w:val="00FD1BC1"/>
    <w:rsid w:val="00FD1F0C"/>
    <w:rsid w:val="00FD2368"/>
    <w:rsid w:val="00FD23D9"/>
    <w:rsid w:val="00FD36F8"/>
    <w:rsid w:val="00FD525D"/>
    <w:rsid w:val="00FE08A0"/>
    <w:rsid w:val="00FE3F99"/>
    <w:rsid w:val="00FE781D"/>
    <w:rsid w:val="00FF1403"/>
    <w:rsid w:val="00FF16C4"/>
    <w:rsid w:val="00FF2685"/>
    <w:rsid w:val="00FF5DA3"/>
    <w:rsid w:val="00FF6042"/>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uiPriority w:val="99"/>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uiPriority w:val="39"/>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link w:val="FootnoteTextChar"/>
    <w:uiPriority w:val="99"/>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link w:val="ListParagraphChar"/>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character" w:customStyle="1" w:styleId="FootnoteTextChar">
    <w:name w:val="Footnote Text Char"/>
    <w:basedOn w:val="DefaultParagraphFont"/>
    <w:link w:val="FootnoteText"/>
    <w:uiPriority w:val="99"/>
    <w:semiHidden/>
    <w:rsid w:val="00336C8B"/>
    <w:rPr>
      <w:lang w:eastAsia="en-US"/>
    </w:rPr>
  </w:style>
  <w:style w:type="paragraph" w:customStyle="1" w:styleId="Default">
    <w:name w:val="Default"/>
    <w:rsid w:val="002F3787"/>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link w:val="ListParagraph"/>
    <w:uiPriority w:val="34"/>
    <w:rsid w:val="003B68AE"/>
    <w:rPr>
      <w:rFonts w:ascii="Arial" w:eastAsia="Calibri" w:hAnsi="Arial" w:cs="Arial"/>
      <w:color w:val="000000"/>
      <w:sz w:val="22"/>
      <w:szCs w:val="22"/>
    </w:rPr>
  </w:style>
  <w:style w:type="character" w:styleId="CommentReference">
    <w:name w:val="annotation reference"/>
    <w:basedOn w:val="DefaultParagraphFont"/>
    <w:semiHidden/>
    <w:unhideWhenUsed/>
    <w:rsid w:val="003B68AE"/>
    <w:rPr>
      <w:sz w:val="16"/>
      <w:szCs w:val="16"/>
    </w:rPr>
  </w:style>
  <w:style w:type="character" w:styleId="FollowedHyperlink">
    <w:name w:val="FollowedHyperlink"/>
    <w:basedOn w:val="DefaultParagraphFont"/>
    <w:semiHidden/>
    <w:unhideWhenUsed/>
    <w:rsid w:val="00BC4139"/>
    <w:rPr>
      <w:color w:val="800080" w:themeColor="followedHyperlink"/>
      <w:u w:val="single"/>
    </w:rPr>
  </w:style>
  <w:style w:type="paragraph" w:styleId="CommentText">
    <w:name w:val="annotation text"/>
    <w:basedOn w:val="Normal"/>
    <w:link w:val="CommentTextChar"/>
    <w:semiHidden/>
    <w:unhideWhenUsed/>
    <w:rsid w:val="00C55979"/>
    <w:rPr>
      <w:sz w:val="20"/>
    </w:rPr>
  </w:style>
  <w:style w:type="character" w:customStyle="1" w:styleId="CommentTextChar">
    <w:name w:val="Comment Text Char"/>
    <w:basedOn w:val="DefaultParagraphFont"/>
    <w:link w:val="CommentText"/>
    <w:semiHidden/>
    <w:rsid w:val="00C55979"/>
    <w:rPr>
      <w:rFonts w:ascii="Arial" w:hAnsi="Arial"/>
      <w:lang w:eastAsia="en-US"/>
    </w:rPr>
  </w:style>
  <w:style w:type="paragraph" w:styleId="CommentSubject">
    <w:name w:val="annotation subject"/>
    <w:basedOn w:val="CommentText"/>
    <w:next w:val="CommentText"/>
    <w:link w:val="CommentSubjectChar"/>
    <w:semiHidden/>
    <w:unhideWhenUsed/>
    <w:rsid w:val="00C55979"/>
    <w:rPr>
      <w:b/>
      <w:bCs/>
    </w:rPr>
  </w:style>
  <w:style w:type="character" w:customStyle="1" w:styleId="CommentSubjectChar">
    <w:name w:val="Comment Subject Char"/>
    <w:basedOn w:val="CommentTextChar"/>
    <w:link w:val="CommentSubject"/>
    <w:semiHidden/>
    <w:rsid w:val="00C55979"/>
    <w:rPr>
      <w:rFonts w:ascii="Arial" w:hAnsi="Arial"/>
      <w:b/>
      <w:bCs/>
      <w:lang w:eastAsia="en-US"/>
    </w:rPr>
  </w:style>
  <w:style w:type="paragraph" w:styleId="Revision">
    <w:name w:val="Revision"/>
    <w:hidden/>
    <w:uiPriority w:val="99"/>
    <w:semiHidden/>
    <w:rsid w:val="00F5081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5583">
      <w:bodyDiv w:val="1"/>
      <w:marLeft w:val="0"/>
      <w:marRight w:val="0"/>
      <w:marTop w:val="0"/>
      <w:marBottom w:val="0"/>
      <w:divBdr>
        <w:top w:val="none" w:sz="0" w:space="0" w:color="auto"/>
        <w:left w:val="none" w:sz="0" w:space="0" w:color="auto"/>
        <w:bottom w:val="none" w:sz="0" w:space="0" w:color="auto"/>
        <w:right w:val="none" w:sz="0" w:space="0" w:color="auto"/>
      </w:divBdr>
    </w:div>
    <w:div w:id="581793437">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510633581">
      <w:bodyDiv w:val="1"/>
      <w:marLeft w:val="0"/>
      <w:marRight w:val="0"/>
      <w:marTop w:val="0"/>
      <w:marBottom w:val="0"/>
      <w:divBdr>
        <w:top w:val="none" w:sz="0" w:space="0" w:color="auto"/>
        <w:left w:val="none" w:sz="0" w:space="0" w:color="auto"/>
        <w:bottom w:val="none" w:sz="0" w:space="0" w:color="auto"/>
        <w:right w:val="none" w:sz="0" w:space="0" w:color="auto"/>
      </w:divBdr>
    </w:div>
    <w:div w:id="205772889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arrow.gov.uk/downloads/file/26426/local-plan-core-strateg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ndon.gov.uk/sites/default/files/the_london_plan_2021.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5759/NPPF_July_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allum.sayers@harrow.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oderngov.harrow.gov.uk/documents/s176909/Cabinet%20Report%20-%20May%202022%20-%20Tall%20Buildings%20and%20Conversions%20-%20FINAL%20V2%20-%202205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3.xml><?xml version="1.0" encoding="utf-8"?>
<ds:datastoreItem xmlns:ds="http://schemas.openxmlformats.org/officeDocument/2006/customXml" ds:itemID="{E1834530-F983-4CA7-921D-46F6B8F639E4}">
  <ds:schemaRefs>
    <ds:schemaRef ds:uri="http://schemas.openxmlformats.org/officeDocument/2006/bibliography"/>
  </ds:schemaRefs>
</ds:datastoreItem>
</file>

<file path=customXml/itemProps4.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4514</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David Hughes</cp:lastModifiedBy>
  <cp:revision>21</cp:revision>
  <cp:lastPrinted>2014-11-17T16:34:00Z</cp:lastPrinted>
  <dcterms:created xsi:type="dcterms:W3CDTF">2022-12-22T14:57:00Z</dcterms:created>
  <dcterms:modified xsi:type="dcterms:W3CDTF">2022-12-23T06:41:00Z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